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F9" w:rsidRPr="008918A4" w:rsidRDefault="00F42AF9" w:rsidP="00F42AF9">
      <w:pPr>
        <w:spacing w:line="580" w:lineRule="exact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  <w:r w:rsidRPr="008918A4">
        <w:rPr>
          <w:rFonts w:ascii="黑体" w:eastAsia="黑体" w:hAnsi="黑体" w:hint="eastAsia"/>
          <w:color w:val="000000" w:themeColor="text1"/>
          <w:kern w:val="0"/>
          <w:sz w:val="32"/>
          <w:szCs w:val="32"/>
        </w:rPr>
        <w:t>附件4</w:t>
      </w:r>
    </w:p>
    <w:p w:rsidR="00CE6EF9" w:rsidRPr="008918A4" w:rsidRDefault="00CE6EF9" w:rsidP="00F42AF9">
      <w:pPr>
        <w:spacing w:line="580" w:lineRule="exact"/>
        <w:jc w:val="left"/>
        <w:rPr>
          <w:rFonts w:ascii="黑体" w:eastAsia="黑体" w:hAnsi="黑体"/>
          <w:color w:val="000000" w:themeColor="text1"/>
          <w:kern w:val="0"/>
          <w:sz w:val="32"/>
          <w:szCs w:val="32"/>
        </w:rPr>
      </w:pPr>
    </w:p>
    <w:p w:rsidR="00980A5F" w:rsidRPr="008918A4" w:rsidRDefault="00E15D3C">
      <w:pPr>
        <w:spacing w:line="580" w:lineRule="exact"/>
        <w:jc w:val="center"/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</w:pPr>
      <w:r w:rsidRPr="008918A4">
        <w:rPr>
          <w:rFonts w:ascii="Times New Roman" w:eastAsia="方正小标宋简体" w:hAnsi="Times New Roman" w:hint="eastAsia"/>
          <w:color w:val="000000" w:themeColor="text1"/>
          <w:kern w:val="0"/>
          <w:sz w:val="44"/>
          <w:szCs w:val="44"/>
        </w:rPr>
        <w:t>皮肤变态反应：局部</w:t>
      </w:r>
      <w:r w:rsidRPr="008918A4">
        <w:rPr>
          <w:rFonts w:ascii="方正小标宋简体" w:eastAsia="方正小标宋简体" w:hAnsi="Times New Roman" w:hint="eastAsia"/>
          <w:color w:val="000000" w:themeColor="text1"/>
          <w:kern w:val="0"/>
          <w:sz w:val="44"/>
          <w:szCs w:val="44"/>
        </w:rPr>
        <w:t>淋巴结试验</w:t>
      </w:r>
      <w:r w:rsidRPr="008918A4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:DA</w:t>
      </w:r>
    </w:p>
    <w:p w:rsidR="00980A5F" w:rsidRPr="008918A4" w:rsidRDefault="00E15D3C">
      <w:pPr>
        <w:spacing w:line="580" w:lineRule="exact"/>
        <w:jc w:val="center"/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</w:pPr>
      <w:r w:rsidRPr="008918A4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Skin Sensitization: Local Lymph Node Assay: DA</w:t>
      </w:r>
      <w:r w:rsidRPr="008918A4">
        <w:rPr>
          <w:rFonts w:ascii="方正小标宋简体" w:eastAsia="方正小标宋简体" w:hAnsi="Times New Roman" w:hint="eastAsia"/>
          <w:color w:val="000000" w:themeColor="text1"/>
          <w:kern w:val="0"/>
          <w:sz w:val="44"/>
          <w:szCs w:val="44"/>
        </w:rPr>
        <w:t>（</w:t>
      </w:r>
      <w:r w:rsidRPr="008918A4">
        <w:rPr>
          <w:rFonts w:ascii="方正小标宋简体" w:eastAsia="方正小标宋简体" w:hAnsi="Times New Roman"/>
          <w:color w:val="000000" w:themeColor="text1"/>
          <w:kern w:val="0"/>
          <w:sz w:val="44"/>
          <w:szCs w:val="44"/>
        </w:rPr>
        <w:t>LLNA:DA</w:t>
      </w:r>
      <w:r w:rsidRPr="008918A4">
        <w:rPr>
          <w:rFonts w:ascii="方正小标宋简体" w:eastAsia="方正小标宋简体" w:hAnsi="Times New Roman" w:hint="eastAsia"/>
          <w:color w:val="000000" w:themeColor="text1"/>
          <w:kern w:val="0"/>
          <w:sz w:val="44"/>
          <w:szCs w:val="44"/>
        </w:rPr>
        <w:t>）</w:t>
      </w:r>
    </w:p>
    <w:p w:rsidR="00980A5F" w:rsidRPr="008918A4" w:rsidRDefault="00980A5F">
      <w:pPr>
        <w:spacing w:line="580" w:lineRule="exact"/>
        <w:jc w:val="center"/>
        <w:rPr>
          <w:rFonts w:ascii="Times New Roman" w:eastAsiaTheme="minorEastAsia"/>
          <w:b/>
          <w:color w:val="000000" w:themeColor="text1"/>
        </w:rPr>
      </w:pPr>
    </w:p>
    <w:p w:rsidR="00980A5F" w:rsidRPr="008918A4" w:rsidRDefault="00E15D3C">
      <w:pPr>
        <w:spacing w:line="580" w:lineRule="exact"/>
        <w:ind w:firstLineChars="200" w:firstLine="643"/>
        <w:rPr>
          <w:b/>
          <w:color w:val="000000" w:themeColor="text1"/>
          <w:sz w:val="28"/>
          <w:szCs w:val="28"/>
        </w:rPr>
      </w:pPr>
      <w:r w:rsidRPr="008918A4">
        <w:rPr>
          <w:rFonts w:ascii="Times New Roman" w:eastAsiaTheme="minorEastAsia"/>
          <w:b/>
          <w:color w:val="000000" w:themeColor="text1"/>
          <w:sz w:val="32"/>
          <w:szCs w:val="32"/>
        </w:rPr>
        <w:t xml:space="preserve">1 </w:t>
      </w:r>
      <w:r w:rsidRPr="008918A4"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  <w:t>范围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本方法规定了局部淋巴结试验（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LLNA:DA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）的基本原则和试验要求。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本方法适用于</w:t>
      </w:r>
      <w:r w:rsidRPr="008918A4">
        <w:rPr>
          <w:rFonts w:eastAsia="仿宋_GB2312"/>
          <w:color w:val="000000" w:themeColor="text1"/>
          <w:kern w:val="0"/>
          <w:sz w:val="32"/>
          <w:szCs w:val="32"/>
        </w:rPr>
        <w:t>化妆品用化学原料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皮肤变态反应的检测。</w:t>
      </w:r>
    </w:p>
    <w:p w:rsidR="00980A5F" w:rsidRPr="008918A4" w:rsidRDefault="00E15D3C">
      <w:pPr>
        <w:pStyle w:val="ab"/>
        <w:spacing w:line="580" w:lineRule="exact"/>
        <w:ind w:firstLine="643"/>
        <w:rPr>
          <w:rFonts w:ascii="Times New Roman" w:eastAsiaTheme="minorEastAsia"/>
          <w:b/>
          <w:color w:val="000000" w:themeColor="text1"/>
          <w:szCs w:val="21"/>
        </w:rPr>
      </w:pPr>
      <w:r w:rsidRPr="008918A4">
        <w:rPr>
          <w:rFonts w:ascii="Times New Roman" w:eastAsiaTheme="minorEastAsia"/>
          <w:b/>
          <w:color w:val="000000" w:themeColor="text1"/>
          <w:sz w:val="32"/>
          <w:szCs w:val="32"/>
        </w:rPr>
        <w:t>2</w:t>
      </w:r>
      <w:r w:rsidRPr="008918A4">
        <w:rPr>
          <w:rFonts w:ascii="Times New Roman" w:eastAsia="黑体" w:hint="eastAsia"/>
          <w:bCs/>
          <w:color w:val="000000" w:themeColor="text1"/>
          <w:sz w:val="32"/>
          <w:szCs w:val="32"/>
        </w:rPr>
        <w:t>试验目的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确定重复接触</w:t>
      </w:r>
      <w:r w:rsidRPr="008918A4">
        <w:rPr>
          <w:rFonts w:eastAsia="仿宋_GB2312"/>
          <w:color w:val="000000" w:themeColor="text1"/>
          <w:kern w:val="0"/>
          <w:sz w:val="32"/>
          <w:szCs w:val="32"/>
        </w:rPr>
        <w:t>化妆品用化学原料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对哺乳动物皮肤局部是否可引起变态反应及其程度。</w:t>
      </w:r>
    </w:p>
    <w:p w:rsidR="00980A5F" w:rsidRPr="008918A4" w:rsidRDefault="00E15D3C">
      <w:pPr>
        <w:pStyle w:val="ab"/>
        <w:spacing w:line="580" w:lineRule="exact"/>
        <w:ind w:firstLine="643"/>
        <w:rPr>
          <w:rFonts w:ascii="Times New Roman" w:eastAsiaTheme="minorEastAsia"/>
          <w:b/>
          <w:color w:val="000000" w:themeColor="text1"/>
          <w:szCs w:val="21"/>
        </w:rPr>
      </w:pPr>
      <w:r w:rsidRPr="008918A4">
        <w:rPr>
          <w:rFonts w:ascii="Times New Roman" w:eastAsiaTheme="minorEastAsia"/>
          <w:b/>
          <w:color w:val="000000" w:themeColor="text1"/>
          <w:sz w:val="32"/>
          <w:szCs w:val="32"/>
        </w:rPr>
        <w:t xml:space="preserve">3 </w:t>
      </w:r>
      <w:r w:rsidRPr="008918A4">
        <w:rPr>
          <w:rFonts w:ascii="Times New Roman" w:eastAsia="黑体" w:hint="eastAsia"/>
          <w:bCs/>
          <w:color w:val="000000" w:themeColor="text1"/>
          <w:sz w:val="32"/>
          <w:szCs w:val="32"/>
        </w:rPr>
        <w:t>定义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3.1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皮肤变态反应（过敏性接触性皮炎）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skin sensitization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allergic contact dermatitis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皮肤对一种物质产生的免疫源性皮肤反应。在人类这种反应可能以瘙痒、红斑、丘疹、水疱、融合水疱为特征。动物的反应不同，可能只见到皮肤红斑和水肿。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3.2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皮肤刺激性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dermal irritation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皮肤涂抹受试物后局部产生的原发可逆性炎性变化。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3.3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stimulation index</w:t>
      </w:r>
    </w:p>
    <w:p w:rsidR="00980A5F" w:rsidRPr="008918A4" w:rsidRDefault="00E15D3C">
      <w:pPr>
        <w:autoSpaceDE w:val="0"/>
        <w:autoSpaceDN w:val="0"/>
        <w:spacing w:line="580" w:lineRule="exact"/>
        <w:ind w:firstLineChars="200"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评价受试物皮肤致敏能力的值，是试验组与溶剂对照组增殖率的比值。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Times New Roman" w:eastAsiaTheme="minorEastAsia" w:hAnsi="Times New Roman"/>
          <w:b/>
          <w:color w:val="000000" w:themeColor="text1"/>
          <w:kern w:val="0"/>
        </w:rPr>
      </w:pPr>
      <w:r w:rsidRPr="008918A4"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  <w:lastRenderedPageBreak/>
        <w:t xml:space="preserve">4 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试验原理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0" w:name="_Hlk516736914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过敏原引起染毒部位回流淋巴结内淋巴细胞增殖</w:t>
      </w:r>
      <w:bookmarkEnd w:id="0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，其增殖程度与过敏原的剂量和效力成比例。通过生物发光法测定耳廓淋巴结内淋巴细胞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含量（与活细胞数相关）从而评价其增殖程度。生物发光法利用荧光素酶（</w:t>
      </w:r>
      <w:proofErr w:type="spellStart"/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luciferase</w:t>
      </w:r>
      <w:proofErr w:type="spell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）催化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和荧光素（</w:t>
      </w:r>
      <w:proofErr w:type="spellStart"/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luciferin</w:t>
      </w:r>
      <w:proofErr w:type="spell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）反应同时发光，其发光强度与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浓度线性相关。通过计算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受试物组与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溶剂对照组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含量比值即刺激指数评价受试物的皮肤致敏性。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480"/>
        <w:jc w:val="left"/>
        <w:rPr>
          <w:rFonts w:ascii="Times New Roman" w:eastAsia="仿宋_GB2312" w:hAnsi="Times New Roman"/>
          <w:color w:val="000000" w:themeColor="text1"/>
          <w:kern w:val="0"/>
          <w:sz w:val="24"/>
          <w:szCs w:val="24"/>
        </w:rPr>
      </w:pPr>
      <m:oMathPara>
        <m:oMath>
          <m: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ATP</m:t>
          </m:r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Luciferin</m:t>
          </m:r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2</m:t>
              </m:r>
            </m:sub>
          </m:sSub>
          <m:box>
            <m:boxPr>
              <m:opEmu m:val="on"/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24"/>
                      <w:szCs w:val="24"/>
                    </w:rPr>
                    <m:t>Luciferase</m:t>
                  </m:r>
                </m:e>
              </m:groupChr>
            </m:e>
          </m:box>
          <m: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Oxyluciferin</m:t>
          </m:r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AMP</m:t>
          </m:r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PP</m:t>
              </m:r>
            </m:e>
            <m:sub>
              <m: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24"/>
                  <w:szCs w:val="24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+</m:t>
          </m:r>
          <m:r>
            <w:rPr>
              <w:rFonts w:ascii="Cambria Math" w:eastAsia="仿宋_GB2312" w:hAnsi="Cambria Math"/>
              <w:color w:val="000000" w:themeColor="text1"/>
              <w:kern w:val="0"/>
              <w:sz w:val="24"/>
              <w:szCs w:val="24"/>
            </w:rPr>
            <m:t>Light</m:t>
          </m:r>
        </m:oMath>
      </m:oMathPara>
    </w:p>
    <w:p w:rsidR="00980A5F" w:rsidRPr="008918A4" w:rsidRDefault="00E15D3C">
      <w:pPr>
        <w:pStyle w:val="ab"/>
        <w:spacing w:line="580" w:lineRule="exact"/>
        <w:ind w:firstLine="643"/>
        <w:rPr>
          <w:rFonts w:ascii="Times New Roman" w:eastAsiaTheme="minorEastAsia"/>
          <w:b/>
          <w:color w:val="000000" w:themeColor="text1"/>
          <w:szCs w:val="21"/>
        </w:rPr>
      </w:pPr>
      <w:bookmarkStart w:id="1" w:name="_Hlk516581271"/>
      <w:r w:rsidRPr="008918A4">
        <w:rPr>
          <w:rFonts w:ascii="Times New Roman" w:eastAsiaTheme="minorEastAsia"/>
          <w:b/>
          <w:color w:val="000000" w:themeColor="text1"/>
          <w:sz w:val="32"/>
          <w:szCs w:val="32"/>
        </w:rPr>
        <w:t xml:space="preserve">5 </w:t>
      </w:r>
      <w:r w:rsidRPr="008918A4">
        <w:rPr>
          <w:rFonts w:ascii="Times New Roman" w:eastAsia="黑体" w:hint="eastAsia"/>
          <w:bCs/>
          <w:color w:val="000000" w:themeColor="text1"/>
          <w:sz w:val="32"/>
          <w:szCs w:val="32"/>
        </w:rPr>
        <w:t>试验的基本原则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5.1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实验动物和饲养环境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选用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SPF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级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BALB/c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或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CBA/J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小鼠，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12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周龄，雌性，未孕或未曾产仔的。体重差异应不超过平均体重的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</w:t>
      </w:r>
      <w:r w:rsidR="008918A4"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其他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品系或雄性小鼠如经验证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LLNA:DA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反应不存在明显品系或性别间差异亦可使用。实验动物及实验动物房应符合国家相应规定，选用标准配合饲料，饮水不限制。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5.2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动物试验前准备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试验前动物应在实验动物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房环境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中至少适应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。将动物随机分组标记（不要做任何形式的耳朵标记），检查皮肤应健康无损伤。试验开始和结束时应记录动物体重。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5.3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可靠性检查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每次试验均需设置阳性对照组，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一般采用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己基肉桂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醛（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CAS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号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101-86-0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）或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丁子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香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酚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CAS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号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97-53-0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），溶剂为丙酮：橄榄油（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AOO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4:1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v/v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）。当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与受试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lastRenderedPageBreak/>
        <w:t>物的溶剂不同时，需另单独设置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阳性物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的溶剂对照组。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5.4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试验期间每天观察动物临床症状及耳朵局部刺激症状，并做完整记录。</w:t>
      </w:r>
    </w:p>
    <w:p w:rsidR="00980A5F" w:rsidRPr="008918A4" w:rsidRDefault="00E15D3C">
      <w:pPr>
        <w:pStyle w:val="ab"/>
        <w:spacing w:line="580" w:lineRule="exact"/>
        <w:ind w:firstLine="643"/>
        <w:rPr>
          <w:rFonts w:ascii="Times New Roman" w:eastAsiaTheme="minorEastAsia"/>
          <w:b/>
          <w:color w:val="000000" w:themeColor="text1"/>
        </w:rPr>
      </w:pPr>
      <w:r w:rsidRPr="008918A4">
        <w:rPr>
          <w:rFonts w:ascii="Times New Roman" w:eastAsiaTheme="minorEastAsia"/>
          <w:b/>
          <w:color w:val="000000" w:themeColor="text1"/>
          <w:sz w:val="32"/>
          <w:szCs w:val="32"/>
        </w:rPr>
        <w:t xml:space="preserve">6 </w:t>
      </w:r>
      <w:r w:rsidRPr="008918A4">
        <w:rPr>
          <w:rFonts w:ascii="Times New Roman" w:eastAsia="黑体" w:hint="eastAsia"/>
          <w:bCs/>
          <w:color w:val="000000" w:themeColor="text1"/>
          <w:sz w:val="32"/>
          <w:szCs w:val="32"/>
        </w:rPr>
        <w:t>试验方法</w:t>
      </w:r>
    </w:p>
    <w:p w:rsidR="00980A5F" w:rsidRPr="008918A4" w:rsidRDefault="00E15D3C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进行本试验前，需通过预试验（每组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只动物）排除受试物引起全身毒性和（或）局部皮肤中度刺激性。筛选最大剂量水平要求：液体受试物达到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浓度，固体或悬浮液达到最大可能浓度。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6.1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动物与分组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动物随机分为阴性（溶剂）对照组、阳性对照组和受试物组（至少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3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个浓度），每组至少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4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只动物。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6.2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受试物配制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固体受试物应溶于或悬浮于适当溶剂中并稀释，液体受试物可以直接或稀释用。受试物应现用现配。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bookmarkStart w:id="2" w:name="_Hlk516561497"/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6.3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溶剂的选择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常用溶剂为丙酮：橄榄油（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AOO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，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v/v 4:1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）、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N,N-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二甲基甲酰胺（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DMF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）、甲乙酮（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MEK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）、丙烯乙二醇、二甲基亚砜（</w:t>
      </w:r>
      <w:r w:rsidRPr="008918A4">
        <w:rPr>
          <w:rFonts w:ascii="Times New Roman" w:eastAsia="仿宋_GB2312"/>
          <w:color w:val="000000" w:themeColor="text1"/>
          <w:sz w:val="32"/>
          <w:szCs w:val="32"/>
        </w:rPr>
        <w:t>DMSO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）等。</w:t>
      </w:r>
    </w:p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6.4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剂量水平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物最高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浓度应不引起动物全身毒性和（或）局部皮肤中度刺激性，通过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预试验按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合适浓度梯度如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100%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50%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 25%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10%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2.5%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0.5%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等选择三个连续的试验浓度。</w:t>
      </w:r>
    </w:p>
    <w:bookmarkEnd w:id="2"/>
    <w:p w:rsidR="00980A5F" w:rsidRPr="008918A4" w:rsidRDefault="00E15D3C">
      <w:pPr>
        <w:pStyle w:val="ab"/>
        <w:spacing w:line="580" w:lineRule="exact"/>
        <w:ind w:firstLine="640"/>
        <w:rPr>
          <w:rFonts w:ascii="Times New Roman" w:eastAsia="仿宋_GB2312"/>
          <w:color w:val="000000" w:themeColor="text1"/>
          <w:sz w:val="32"/>
          <w:szCs w:val="32"/>
        </w:rPr>
      </w:pPr>
      <w:r w:rsidRPr="008918A4">
        <w:rPr>
          <w:rFonts w:ascii="Times New Roman" w:eastAsia="仿宋_GB2312"/>
          <w:color w:val="000000" w:themeColor="text1"/>
          <w:sz w:val="32"/>
          <w:szCs w:val="32"/>
        </w:rPr>
        <w:t xml:space="preserve">6.5 </w:t>
      </w:r>
      <w:r w:rsidRPr="008918A4">
        <w:rPr>
          <w:rFonts w:ascii="Times New Roman" w:eastAsia="仿宋_GB2312" w:hint="eastAsia"/>
          <w:color w:val="000000" w:themeColor="text1"/>
          <w:sz w:val="32"/>
          <w:szCs w:val="32"/>
        </w:rPr>
        <w:t>试验步骤</w:t>
      </w:r>
    </w:p>
    <w:bookmarkEnd w:id="1"/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lastRenderedPageBreak/>
        <w:t xml:space="preserve">6.5.1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动物随机分组、标记、称重、记录临床症状。</w:t>
      </w:r>
      <w:bookmarkStart w:id="3" w:name="_Hlk516647677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将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十二烷基硫酸钠（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SLS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）均匀涂抹到小鼠双侧耳朵背部皮肤。</w:t>
      </w:r>
      <w:bookmarkEnd w:id="3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刷子或棉签应浸泡在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SLS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溶液中，并在小鼠每个耳朵背部重复涂抹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5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次。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1h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后再涂抹受试物或对照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25μL/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耳。</w:t>
      </w:r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6.5.2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7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bookmarkStart w:id="4" w:name="_Hlk516647806"/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操作同第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，重复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1%SLS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溶液预处理和受试物或对照涂抹。</w:t>
      </w:r>
      <w:bookmarkEnd w:id="4"/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6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.5.3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4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6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bookmarkStart w:id="5" w:name="_Hlk516647951"/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不做任何处理。</w:t>
      </w:r>
      <w:bookmarkEnd w:id="5"/>
    </w:p>
    <w:p w:rsidR="00980A5F" w:rsidRPr="008918A4" w:rsidRDefault="00E15D3C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6.5.4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</w:p>
    <w:p w:rsidR="00980A5F" w:rsidRPr="008918A4" w:rsidRDefault="00E15D3C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记录小鼠体重和出现的任何临床症状，第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7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染毒后约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24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30h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人道处死动物，</w:t>
      </w:r>
      <w:bookmarkStart w:id="6" w:name="_Hlk516581527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摘取小鼠双侧颌下淋巴结，同时分离耳廓打孔称重。</w:t>
      </w:r>
    </w:p>
    <w:p w:rsidR="00980A5F" w:rsidRPr="008918A4" w:rsidRDefault="00E15D3C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7" w:name="_Hlk516562234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试验期间每天观察记录小鼠临床症状及耳朵局部刺激症状并按表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进行评分，任何时候局部刺激红斑评分≥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和（或）耳廓</w:t>
      </w:r>
      <w:bookmarkStart w:id="8" w:name="_Hlk519760650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厚度</w:t>
      </w:r>
      <w:bookmarkEnd w:id="8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（耳廓重）≥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25%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，为中度皮肤刺激性。在整个实验过程中，不应出现中度皮肤刺激性反应。</w:t>
      </w:r>
    </w:p>
    <w:bookmarkEnd w:id="6"/>
    <w:bookmarkEnd w:id="7"/>
    <w:p w:rsidR="00980A5F" w:rsidRPr="008918A4" w:rsidRDefault="00E15D3C">
      <w:pPr>
        <w:widowControl/>
        <w:autoSpaceDE w:val="0"/>
        <w:autoSpaceDN w:val="0"/>
        <w:spacing w:line="360" w:lineRule="auto"/>
        <w:ind w:firstLine="560"/>
        <w:jc w:val="center"/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</w:pP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表</w:t>
      </w:r>
      <w:r w:rsidRPr="008918A4"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  <w:t xml:space="preserve">1 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红斑评分</w:t>
      </w:r>
    </w:p>
    <w:tbl>
      <w:tblPr>
        <w:tblStyle w:val="aa"/>
        <w:tblW w:w="5681" w:type="dxa"/>
        <w:jc w:val="center"/>
        <w:tblLayout w:type="fixed"/>
        <w:tblLook w:val="04A0"/>
      </w:tblPr>
      <w:tblGrid>
        <w:gridCol w:w="4463"/>
        <w:gridCol w:w="1218"/>
      </w:tblGrid>
      <w:tr w:rsidR="008918A4" w:rsidRPr="008918A4">
        <w:trPr>
          <w:jc w:val="center"/>
        </w:trPr>
        <w:tc>
          <w:tcPr>
            <w:tcW w:w="4463" w:type="dxa"/>
            <w:tcBorders>
              <w:left w:val="nil"/>
              <w:bottom w:val="single" w:sz="4" w:space="0" w:color="auto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918A4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症状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918A4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分值</w:t>
            </w:r>
          </w:p>
        </w:tc>
      </w:tr>
      <w:tr w:rsidR="008918A4" w:rsidRPr="008918A4">
        <w:trPr>
          <w:jc w:val="center"/>
        </w:trPr>
        <w:tc>
          <w:tcPr>
            <w:tcW w:w="4463" w:type="dxa"/>
            <w:tcBorders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无红斑</w:t>
            </w: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:rsidR="00980A5F" w:rsidRPr="008918A4" w:rsidRDefault="00E15D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0</w:t>
            </w:r>
          </w:p>
        </w:tc>
      </w:tr>
      <w:tr w:rsidR="008918A4" w:rsidRPr="008918A4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轻微红斑（勉强可见）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1</w:t>
            </w:r>
          </w:p>
        </w:tc>
      </w:tr>
      <w:tr w:rsidR="008918A4" w:rsidRPr="008918A4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明显红斑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2</w:t>
            </w:r>
          </w:p>
        </w:tc>
      </w:tr>
      <w:tr w:rsidR="008918A4" w:rsidRPr="008918A4">
        <w:trPr>
          <w:jc w:val="center"/>
        </w:trPr>
        <w:tc>
          <w:tcPr>
            <w:tcW w:w="4463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中度</w:t>
            </w: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  <w:t>-</w:t>
            </w: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重度红斑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3</w:t>
            </w:r>
          </w:p>
        </w:tc>
      </w:tr>
      <w:tr w:rsidR="008918A4" w:rsidRPr="008918A4">
        <w:trPr>
          <w:jc w:val="center"/>
        </w:trPr>
        <w:tc>
          <w:tcPr>
            <w:tcW w:w="4463" w:type="dxa"/>
            <w:tcBorders>
              <w:top w:val="nil"/>
              <w:left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严重红斑（紫红色）至轻微焦痂形成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:rsidR="00980A5F" w:rsidRPr="008918A4" w:rsidRDefault="00E15D3C">
            <w:pPr>
              <w:spacing w:line="360" w:lineRule="auto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4</w:t>
            </w:r>
          </w:p>
        </w:tc>
      </w:tr>
    </w:tbl>
    <w:p w:rsidR="00980A5F" w:rsidRPr="008918A4" w:rsidRDefault="00E15D3C" w:rsidP="006C0985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lastRenderedPageBreak/>
        <w:t>6.5.5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淋巴细胞悬液的制备</w:t>
      </w:r>
    </w:p>
    <w:p w:rsidR="00980A5F" w:rsidRPr="008918A4" w:rsidRDefault="00E15D3C" w:rsidP="006C0985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bookmarkStart w:id="9" w:name="_Hlk516735723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将每只小鼠分离的淋巴结</w:t>
      </w:r>
      <w:bookmarkEnd w:id="9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夹在两片载玻片之间，施加轻微压力压碎，拉动两个载玻片使之分开。将每片载玻片在培养皿上固定一定的角度，用磷酸盐缓冲液（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PBS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）冲洗，同时用细胞刮刀将载玻片上组织轻轻刮下，每只小鼠淋巴结制成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1mL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细胞悬液。吸取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20μL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淋巴细胞悬液加到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1.98mL PBS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中混匀制成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2mL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样品，注意不要吸取肉眼可见的膜。用相同方法制备第二个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2mL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样品（每只小鼠制备两份平行样品）。</w:t>
      </w:r>
    </w:p>
    <w:p w:rsidR="00980A5F" w:rsidRPr="008918A4" w:rsidRDefault="00E15D3C" w:rsidP="006C0985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 xml:space="preserve">6.5.6 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细胞增殖测定（淋巴细胞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含量测定）</w:t>
      </w:r>
    </w:p>
    <w:p w:rsidR="00980A5F" w:rsidRPr="008918A4" w:rsidRDefault="00E15D3C" w:rsidP="006C0985">
      <w:pPr>
        <w:spacing w:line="560" w:lineRule="exact"/>
        <w:ind w:firstLineChars="200" w:firstLine="640"/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测定试剂盒荧光素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/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荧光素酶法测定淋巴结中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含量，以相对发光单位（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RLU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）表示生物发光。由于动物处死后其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含量随时间逐渐下降，因此每只动物从处死到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含量测定时间应保持一致，约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30min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内。每只动物从分离颌下淋巴结到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测定系列操作务必在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20min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内完成，且每只动物处理时间保持一致。每只动物测定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份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2mL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细胞样品，取其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ATP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发光均值用于后续计算。</w:t>
      </w:r>
      <w:bookmarkStart w:id="10" w:name="_Hlk516581657"/>
    </w:p>
    <w:p w:rsidR="00980A5F" w:rsidRPr="008918A4" w:rsidRDefault="00E15D3C" w:rsidP="006C0985">
      <w:pPr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  <w:t xml:space="preserve">7 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数据处理</w:t>
      </w:r>
    </w:p>
    <w:p w:rsidR="00980A5F" w:rsidRPr="008918A4" w:rsidRDefault="00E15D3C">
      <w:pPr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stimulation index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 xml:space="preserve">, 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）为</w:t>
      </w:r>
      <w:proofErr w:type="gramStart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受试物组或</w:t>
      </w:r>
      <w:proofErr w:type="gramEnd"/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阳性对照组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RLU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均值与溶剂对照组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RLU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均值比值，计算公式如下：</w:t>
      </w:r>
    </w:p>
    <w:p w:rsidR="00980A5F" w:rsidRPr="008918A4" w:rsidRDefault="00E15D3C">
      <w:pPr>
        <w:autoSpaceDE w:val="0"/>
        <w:autoSpaceDN w:val="0"/>
        <w:adjustRightInd w:val="0"/>
        <w:ind w:leftChars="50" w:left="265" w:hangingChars="50" w:hanging="16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 w:hint="eastAsia"/>
              <w:color w:val="000000" w:themeColor="text1"/>
              <w:kern w:val="0"/>
              <w:sz w:val="32"/>
              <w:szCs w:val="32"/>
            </w:rPr>
            <m:t>刺激指数</m:t>
          </m:r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32"/>
              <w:szCs w:val="32"/>
            </w:rPr>
            <m:t xml:space="preserve"> (SI) =</m:t>
          </m:r>
          <m:f>
            <m:f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受试物组或阳性对照组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RLU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均值</m:t>
              </m:r>
            </m:num>
            <m:den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溶剂对照组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RLU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均值</m:t>
              </m:r>
            </m:den>
          </m:f>
        </m:oMath>
      </m:oMathPara>
    </w:p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EC1.8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（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estimated concentration needed to produce SI =1.8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）为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SI=1.8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时受试物的浓度。当受试物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个浓度分别为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＞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＜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时，计算公式如下：</w:t>
      </w:r>
    </w:p>
    <w:p w:rsidR="00980A5F" w:rsidRPr="008918A4" w:rsidRDefault="00E15D3C">
      <w:pPr>
        <w:autoSpaceDE w:val="0"/>
        <w:autoSpaceDN w:val="0"/>
        <w:adjustRightInd w:val="0"/>
        <w:ind w:firstLine="42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仿宋_GB2312" w:hAnsi="Cambria Math"/>
              <w:color w:val="000000" w:themeColor="text1"/>
              <w:kern w:val="0"/>
              <w:sz w:val="32"/>
              <w:szCs w:val="32"/>
            </w:rPr>
            <w:lastRenderedPageBreak/>
            <m:t xml:space="preserve"> EC1.8=c+</m:t>
          </m:r>
          <m:d>
            <m:dPr>
              <m:begChr m:val="["/>
              <m:endChr m:val="]"/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1.8</m:t>
                      </m:r>
                      <m:r>
                        <m:rPr>
                          <m:sty m:val="p"/>
                        </m:rPr>
                        <w:rPr>
                          <w:rFonts w:ascii="MS Mincho" w:eastAsia="MS Mincho" w:hAnsi="MS Mincho" w:cs="MS Mincho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d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d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32"/>
                  <w:szCs w:val="32"/>
                </w:rPr>
                <m:t>×</m:t>
              </m:r>
              <m:d>
                <m:dPr>
                  <m:ctrl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  <m:t>c</m:t>
                  </m:r>
                </m:e>
              </m:d>
            </m:e>
          </m:d>
        </m:oMath>
      </m:oMathPara>
    </w:p>
    <w:p w:rsidR="00980A5F" w:rsidRPr="008918A4" w:rsidRDefault="00E15D3C">
      <w:pPr>
        <w:autoSpaceDE w:val="0"/>
        <w:autoSpaceDN w:val="0"/>
        <w:adjustRightInd w:val="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当受试物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3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个浓度均为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m:oMath>
        <m:r>
          <m:rPr>
            <m:sty m:val="p"/>
          </m:rPr>
          <w:rPr>
            <w:rFonts w:ascii="Cambria Math" w:eastAsia="仿宋_GB2312" w:hAnsi="Cambria Math" w:hint="eastAsia"/>
            <w:color w:val="000000" w:themeColor="text1"/>
            <w:kern w:val="0"/>
            <w:sz w:val="32"/>
            <w:szCs w:val="32"/>
          </w:rPr>
          <m:t>≥</m:t>
        </m:r>
      </m:oMath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时，计算公式如下：</w:t>
      </w:r>
    </w:p>
    <w:p w:rsidR="00980A5F" w:rsidRPr="008918A4" w:rsidRDefault="00232F97">
      <w:pPr>
        <w:autoSpaceDE w:val="0"/>
        <w:autoSpaceDN w:val="0"/>
        <w:adjustRightInd w:val="0"/>
        <w:ind w:firstLine="42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EC1.8</m:t>
              </m:r>
            </m:e>
            <m:sub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32"/>
                  <w:szCs w:val="32"/>
                </w:rPr>
                <m:t>ex</m:t>
              </m:r>
            </m:sub>
          </m:sSub>
          <m:r>
            <m:rPr>
              <m:sty m:val="p"/>
            </m:rPr>
            <w:rPr>
              <w:rFonts w:ascii="Cambria Math" w:eastAsia="仿宋_GB2312" w:hAnsi="Times New Roman"/>
              <w:color w:val="000000" w:themeColor="text1"/>
              <w:kern w:val="0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="仿宋_GB2312" w:hAnsi="Times New Roman"/>
                  <w:color w:val="000000" w:themeColor="text1"/>
                  <w:kern w:val="0"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仿宋_GB2312" w:hAnsi="Times New Roman"/>
                  <w:color w:val="000000" w:themeColor="text1"/>
                  <w:kern w:val="0"/>
                  <w:sz w:val="32"/>
                  <w:szCs w:val="32"/>
                </w:rPr>
                <m:t>2</m:t>
              </m:r>
            </m:e>
            <m:sup>
              <m:d>
                <m:dPr>
                  <m:begChr m:val="{"/>
                  <m:endChr m:val="}"/>
                  <m:ctrlPr>
                    <w:rPr>
                      <w:rFonts w:ascii="Cambria Math" w:eastAsia="仿宋_GB2312" w:hAnsi="Times New Roman"/>
                      <w:color w:val="000000" w:themeColor="text1"/>
                      <w:kern w:val="0"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log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c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仿宋_GB2312" w:hAnsi="Cambria Math"/>
                      <w:color w:val="000000" w:themeColor="text1"/>
                      <w:kern w:val="0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1.8-d</m:t>
                          </m:r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b-d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color w:val="000000" w:themeColor="text1"/>
                      <w:kern w:val="0"/>
                      <w:sz w:val="32"/>
                      <w:szCs w:val="32"/>
                    </w:rPr>
                    <m:t>×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a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仿宋_GB2312" w:hAnsi="Cambria Math"/>
                          <w:color w:val="000000" w:themeColor="text1"/>
                          <w:kern w:val="0"/>
                          <w:sz w:val="32"/>
                          <w:szCs w:val="3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仿宋_GB2312" w:hAnsi="Cambria Math"/>
                              <w:color w:val="000000" w:themeColor="text1"/>
                              <w:kern w:val="0"/>
                              <w:sz w:val="32"/>
                              <w:szCs w:val="32"/>
                            </w:rPr>
                            <m:t>c</m:t>
                          </m:r>
                        </m:e>
                      </m:d>
                    </m:e>
                  </m:d>
                </m:e>
              </m:d>
            </m:sup>
          </m:sSup>
        </m:oMath>
      </m:oMathPara>
    </w:p>
    <w:p w:rsidR="00980A5F" w:rsidRPr="008918A4" w:rsidRDefault="00E15D3C" w:rsidP="006C0985">
      <w:pPr>
        <w:autoSpaceDE w:val="0"/>
        <w:autoSpaceDN w:val="0"/>
        <w:adjustRightInd w:val="0"/>
        <w:spacing w:line="560" w:lineRule="exact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注：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a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c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为相邻两点受试物的浓度，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b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、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d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为相应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值。</w:t>
      </w:r>
    </w:p>
    <w:p w:rsidR="00980A5F" w:rsidRPr="008918A4" w:rsidRDefault="00E15D3C" w:rsidP="006C098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数据应以表格形式显示每只小鼠的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RLU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值、每组的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RLU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均值与标准差、每个受试物各剂量组的平均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值，计算每个受试物的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EC1.8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值并判定致敏强度。对所有数据应采用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SPSS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软件</w:t>
      </w:r>
      <w:r w:rsidR="008918A4"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或其他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适当合理的统计学方法进行评价。</w:t>
      </w:r>
    </w:p>
    <w:p w:rsidR="00980A5F" w:rsidRPr="008918A4" w:rsidRDefault="00E15D3C" w:rsidP="006C0985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  <w:t xml:space="preserve">8 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结果判定</w:t>
      </w:r>
    </w:p>
    <w:p w:rsidR="00980A5F" w:rsidRPr="008918A4" w:rsidRDefault="00E15D3C" w:rsidP="006C0985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刺激指数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≥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，受试物为致敏阳性。对于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1.8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≤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SI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≤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2.5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临界值是否判断为阳性，应结合考虑剂量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-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效应关系、统计显著性、系统毒性或皮肤刺激性、溶剂对照与阳性对照反应一致性、与已知致敏物的结构关系等。按表</w:t>
      </w:r>
      <w:r w:rsidRPr="008918A4">
        <w:rPr>
          <w:rFonts w:ascii="Times New Roman" w:eastAsia="仿宋_GB2312" w:hAnsi="Times New Roman"/>
          <w:color w:val="000000" w:themeColor="text1"/>
          <w:kern w:val="0"/>
          <w:sz w:val="32"/>
          <w:szCs w:val="32"/>
        </w:rPr>
        <w:t>2</w:t>
      </w: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对受试物进行致敏强度分级。</w:t>
      </w:r>
    </w:p>
    <w:p w:rsidR="00980A5F" w:rsidRPr="008918A4" w:rsidRDefault="00E15D3C" w:rsidP="00D30715">
      <w:pPr>
        <w:widowControl/>
        <w:autoSpaceDE w:val="0"/>
        <w:autoSpaceDN w:val="0"/>
        <w:spacing w:line="580" w:lineRule="exact"/>
        <w:jc w:val="center"/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</w:pP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表</w:t>
      </w:r>
      <w:r w:rsidRPr="008918A4">
        <w:rPr>
          <w:rFonts w:ascii="Times New Roman" w:eastAsia="黑体" w:hAnsi="Times New Roman"/>
          <w:bCs/>
          <w:color w:val="000000" w:themeColor="text1"/>
          <w:kern w:val="0"/>
          <w:sz w:val="28"/>
          <w:szCs w:val="28"/>
        </w:rPr>
        <w:t xml:space="preserve">2 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28"/>
          <w:szCs w:val="28"/>
        </w:rPr>
        <w:t>皮肤致敏强度分级</w:t>
      </w:r>
    </w:p>
    <w:tbl>
      <w:tblPr>
        <w:tblStyle w:val="aa"/>
        <w:tblW w:w="5528" w:type="dxa"/>
        <w:jc w:val="center"/>
        <w:tblLayout w:type="fixed"/>
        <w:tblLook w:val="04A0"/>
      </w:tblPr>
      <w:tblGrid>
        <w:gridCol w:w="3260"/>
        <w:gridCol w:w="2268"/>
      </w:tblGrid>
      <w:tr w:rsidR="008918A4" w:rsidRPr="008918A4">
        <w:trPr>
          <w:jc w:val="center"/>
        </w:trPr>
        <w:tc>
          <w:tcPr>
            <w:tcW w:w="3260" w:type="dxa"/>
            <w:tcBorders>
              <w:left w:val="nil"/>
              <w:bottom w:val="single" w:sz="4" w:space="0" w:color="auto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918A4"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  <w:t>EC1.8(%)</w:t>
            </w:r>
            <w:r w:rsidRPr="008918A4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值范围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黑体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8918A4">
              <w:rPr>
                <w:rFonts w:ascii="Times New Roman" w:eastAsia="黑体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致敏强度</w:t>
            </w:r>
          </w:p>
        </w:tc>
      </w:tr>
      <w:tr w:rsidR="008918A4" w:rsidRPr="008918A4">
        <w:trPr>
          <w:jc w:val="center"/>
        </w:trPr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EC1.8(%)</m:t>
                </m:r>
                <m: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&lt;0.1</m:t>
                </m:r>
              </m:oMath>
            </m:oMathPara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极强</w:t>
            </w:r>
          </w:p>
        </w:tc>
      </w:tr>
      <w:tr w:rsidR="008918A4" w:rsidRPr="008918A4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adjustRightInd w:val="0"/>
              <w:spacing w:line="580" w:lineRule="exact"/>
              <w:ind w:firstLineChars="300" w:firstLine="600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w:r w:rsidRPr="008918A4"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  <w:t>0.1</w:t>
            </w:r>
            <m:oMath>
              <m:r>
                <m:rPr>
                  <m:sty m:val="p"/>
                </m:rPr>
                <w:rPr>
                  <w:rFonts w:ascii="Cambria Math" w:eastAsia="仿宋_GB2312" w:hAnsi="Cambria Math" w:hint="eastAsia"/>
                  <w:color w:val="000000" w:themeColor="text1"/>
                  <w:kern w:val="0"/>
                  <w:sz w:val="20"/>
                  <w:szCs w:val="24"/>
                </w:rPr>
                <m:t>≤</m:t>
              </m:r>
              <m:r>
                <m:rPr>
                  <m:sty m:val="p"/>
                </m:rPr>
                <w:rPr>
                  <w:rFonts w:ascii="Cambria Math" w:eastAsia="仿宋_GB2312" w:hAnsi="Cambria Math"/>
                  <w:color w:val="000000" w:themeColor="text1"/>
                  <w:kern w:val="0"/>
                  <w:sz w:val="20"/>
                  <w:szCs w:val="24"/>
                </w:rPr>
                <m:t>EC1.8(%)</m:t>
              </m:r>
              <m:r>
                <w:rPr>
                  <w:rFonts w:ascii="Cambria Math" w:eastAsia="仿宋_GB2312" w:hAnsi="Cambria Math"/>
                  <w:color w:val="000000" w:themeColor="text1"/>
                  <w:kern w:val="0"/>
                  <w:sz w:val="20"/>
                  <w:szCs w:val="24"/>
                </w:rPr>
                <m:t>&lt;1</m:t>
              </m:r>
            </m:oMath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强</w:t>
            </w:r>
          </w:p>
        </w:tc>
      </w:tr>
      <w:tr w:rsidR="008918A4" w:rsidRPr="008918A4">
        <w:trPr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color w:val="000000" w:themeColor="text1"/>
                    <w:kern w:val="0"/>
                    <w:sz w:val="20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EC1.8(%)</m:t>
                </m:r>
                <m: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&lt;10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中</w:t>
            </w:r>
          </w:p>
        </w:tc>
      </w:tr>
      <w:tr w:rsidR="008918A4" w:rsidRPr="008918A4">
        <w:trPr>
          <w:jc w:val="center"/>
        </w:trPr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仿宋_GB2312" w:hAnsi="Cambria Math" w:hint="eastAsia"/>
                    <w:color w:val="000000" w:themeColor="text1"/>
                    <w:kern w:val="0"/>
                    <w:sz w:val="20"/>
                    <w:szCs w:val="24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EC1.8(%)</m:t>
                </m:r>
                <m:r>
                  <w:rPr>
                    <w:rFonts w:ascii="Cambria Math" w:eastAsia="仿宋_GB2312" w:hAnsi="Cambria Math"/>
                    <w:color w:val="000000" w:themeColor="text1"/>
                    <w:kern w:val="0"/>
                    <w:sz w:val="20"/>
                    <w:szCs w:val="24"/>
                  </w:rPr>
                  <m:t>&lt;100</m:t>
                </m:r>
              </m:oMath>
            </m:oMathPara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980A5F" w:rsidRPr="008918A4" w:rsidRDefault="00E15D3C">
            <w:pPr>
              <w:autoSpaceDE w:val="0"/>
              <w:autoSpaceDN w:val="0"/>
              <w:spacing w:line="580" w:lineRule="exact"/>
              <w:jc w:val="center"/>
              <w:rPr>
                <w:rFonts w:ascii="Times New Roman" w:eastAsia="仿宋_GB2312" w:hAnsi="Times New Roman"/>
                <w:color w:val="000000" w:themeColor="text1"/>
                <w:kern w:val="0"/>
                <w:sz w:val="20"/>
                <w:szCs w:val="20"/>
              </w:rPr>
            </w:pPr>
            <w:r w:rsidRPr="008918A4">
              <w:rPr>
                <w:rFonts w:ascii="Times New Roman" w:eastAsia="仿宋_GB2312" w:hAnsi="Times New Roman" w:hint="eastAsia"/>
                <w:color w:val="000000" w:themeColor="text1"/>
                <w:kern w:val="0"/>
                <w:sz w:val="20"/>
                <w:szCs w:val="20"/>
              </w:rPr>
              <w:t>弱</w:t>
            </w:r>
          </w:p>
        </w:tc>
      </w:tr>
    </w:tbl>
    <w:bookmarkEnd w:id="10"/>
    <w:p w:rsidR="00980A5F" w:rsidRPr="008918A4" w:rsidRDefault="00E15D3C">
      <w:pPr>
        <w:autoSpaceDE w:val="0"/>
        <w:autoSpaceDN w:val="0"/>
        <w:adjustRightInd w:val="0"/>
        <w:spacing w:line="580" w:lineRule="exact"/>
        <w:ind w:firstLineChars="200" w:firstLine="643"/>
        <w:rPr>
          <w:rFonts w:ascii="Times New Roman" w:eastAsia="黑体" w:hAnsi="Times New Roman"/>
          <w:bCs/>
          <w:color w:val="000000" w:themeColor="text1"/>
          <w:kern w:val="0"/>
          <w:sz w:val="32"/>
          <w:szCs w:val="32"/>
        </w:rPr>
      </w:pPr>
      <w:r w:rsidRPr="008918A4">
        <w:rPr>
          <w:rFonts w:ascii="Times New Roman" w:eastAsiaTheme="minorEastAsia" w:hAnsi="Times New Roman"/>
          <w:b/>
          <w:color w:val="000000" w:themeColor="text1"/>
          <w:kern w:val="0"/>
          <w:sz w:val="32"/>
          <w:szCs w:val="32"/>
        </w:rPr>
        <w:t>9</w:t>
      </w:r>
      <w:r w:rsidRPr="008918A4">
        <w:rPr>
          <w:rFonts w:ascii="Times New Roman" w:eastAsia="黑体" w:hAnsi="Times New Roman" w:hint="eastAsia"/>
          <w:bCs/>
          <w:color w:val="000000" w:themeColor="text1"/>
          <w:kern w:val="0"/>
          <w:sz w:val="32"/>
          <w:szCs w:val="32"/>
        </w:rPr>
        <w:t>试验结果的解释</w:t>
      </w:r>
    </w:p>
    <w:p w:rsidR="00980A5F" w:rsidRPr="008918A4" w:rsidRDefault="00E15D3C" w:rsidP="00F42AF9">
      <w:pPr>
        <w:autoSpaceDE w:val="0"/>
        <w:autoSpaceDN w:val="0"/>
        <w:adjustRightInd w:val="0"/>
        <w:spacing w:line="580" w:lineRule="exact"/>
        <w:ind w:firstLineChars="200" w:firstLine="640"/>
        <w:rPr>
          <w:rFonts w:ascii="Times New Roman" w:eastAsiaTheme="minorEastAsia" w:hAnsi="Times New Roman"/>
          <w:color w:val="000000" w:themeColor="text1"/>
          <w:kern w:val="0"/>
        </w:rPr>
      </w:pPr>
      <w:r w:rsidRPr="008918A4"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</w:rPr>
        <w:t>试验结果应能得出受试物的致敏能力和强度。这些结果只能在很有限的范围内外推到人类。</w:t>
      </w:r>
    </w:p>
    <w:sectPr w:rsidR="00980A5F" w:rsidRPr="008918A4" w:rsidSect="00232F9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424895" w15:done="0"/>
  <w15:commentEx w15:paraId="381B640F" w15:done="0"/>
  <w15:commentEx w15:paraId="21AB1DC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093" w:rsidRDefault="00A42093">
      <w:r>
        <w:separator/>
      </w:r>
    </w:p>
  </w:endnote>
  <w:endnote w:type="continuationSeparator" w:id="1">
    <w:p w:rsidR="00A42093" w:rsidRDefault="00A4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5F" w:rsidRDefault="00980A5F">
    <w:pPr>
      <w:pStyle w:val="a6"/>
      <w:jc w:val="center"/>
    </w:pPr>
  </w:p>
  <w:p w:rsidR="00980A5F" w:rsidRDefault="00980A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093" w:rsidRDefault="00A42093">
      <w:r>
        <w:separator/>
      </w:r>
    </w:p>
  </w:footnote>
  <w:footnote w:type="continuationSeparator" w:id="1">
    <w:p w:rsidR="00A42093" w:rsidRDefault="00A42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A5F" w:rsidRDefault="00980A5F">
    <w:pPr>
      <w:pStyle w:val="a7"/>
      <w:pBdr>
        <w:bottom w:val="none" w:sz="0" w:space="1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utoBVT">
    <w15:presenceInfo w15:providerId="None" w15:userId="AutoBVT"/>
  </w15:person>
  <w15:person w15:author="lily">
    <w15:presenceInfo w15:providerId="None" w15:userId="lil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039"/>
    <w:rsid w:val="000070F5"/>
    <w:rsid w:val="00026EB7"/>
    <w:rsid w:val="00030417"/>
    <w:rsid w:val="000322EF"/>
    <w:rsid w:val="00034731"/>
    <w:rsid w:val="000449F4"/>
    <w:rsid w:val="0005027F"/>
    <w:rsid w:val="00070422"/>
    <w:rsid w:val="0007164F"/>
    <w:rsid w:val="00072692"/>
    <w:rsid w:val="000804DF"/>
    <w:rsid w:val="00082CE0"/>
    <w:rsid w:val="000830A0"/>
    <w:rsid w:val="000842E1"/>
    <w:rsid w:val="0008765F"/>
    <w:rsid w:val="000A7B33"/>
    <w:rsid w:val="000B2552"/>
    <w:rsid w:val="000B3D75"/>
    <w:rsid w:val="000B5C81"/>
    <w:rsid w:val="000C67C3"/>
    <w:rsid w:val="000D727C"/>
    <w:rsid w:val="000D79CD"/>
    <w:rsid w:val="000E0152"/>
    <w:rsid w:val="000E1718"/>
    <w:rsid w:val="000E6BE4"/>
    <w:rsid w:val="00110113"/>
    <w:rsid w:val="0011427D"/>
    <w:rsid w:val="00120029"/>
    <w:rsid w:val="00132020"/>
    <w:rsid w:val="00136E8E"/>
    <w:rsid w:val="0013740D"/>
    <w:rsid w:val="00140082"/>
    <w:rsid w:val="0014132C"/>
    <w:rsid w:val="0015338D"/>
    <w:rsid w:val="00154181"/>
    <w:rsid w:val="0015423E"/>
    <w:rsid w:val="00156198"/>
    <w:rsid w:val="00161871"/>
    <w:rsid w:val="00163954"/>
    <w:rsid w:val="00166F1D"/>
    <w:rsid w:val="00171914"/>
    <w:rsid w:val="00187CE7"/>
    <w:rsid w:val="00191881"/>
    <w:rsid w:val="00193652"/>
    <w:rsid w:val="00196A8E"/>
    <w:rsid w:val="001A085A"/>
    <w:rsid w:val="001B08C3"/>
    <w:rsid w:val="001B5794"/>
    <w:rsid w:val="001C354C"/>
    <w:rsid w:val="001C3B18"/>
    <w:rsid w:val="001C4EE6"/>
    <w:rsid w:val="001C74D7"/>
    <w:rsid w:val="001D1C7D"/>
    <w:rsid w:val="001D6906"/>
    <w:rsid w:val="001D6F6E"/>
    <w:rsid w:val="001E0E7A"/>
    <w:rsid w:val="001E213C"/>
    <w:rsid w:val="001E42C3"/>
    <w:rsid w:val="001E4375"/>
    <w:rsid w:val="001F4FBF"/>
    <w:rsid w:val="001F5175"/>
    <w:rsid w:val="001F590A"/>
    <w:rsid w:val="00201087"/>
    <w:rsid w:val="00201991"/>
    <w:rsid w:val="00206678"/>
    <w:rsid w:val="00206E5B"/>
    <w:rsid w:val="00211399"/>
    <w:rsid w:val="00214429"/>
    <w:rsid w:val="0022631D"/>
    <w:rsid w:val="00230119"/>
    <w:rsid w:val="00231A95"/>
    <w:rsid w:val="00232F97"/>
    <w:rsid w:val="002532CA"/>
    <w:rsid w:val="0026610B"/>
    <w:rsid w:val="00276210"/>
    <w:rsid w:val="0028427F"/>
    <w:rsid w:val="00290156"/>
    <w:rsid w:val="002901C1"/>
    <w:rsid w:val="002B17D0"/>
    <w:rsid w:val="002B252F"/>
    <w:rsid w:val="002C3CDF"/>
    <w:rsid w:val="002C7DCF"/>
    <w:rsid w:val="002D58C3"/>
    <w:rsid w:val="002E0AA4"/>
    <w:rsid w:val="002E26C5"/>
    <w:rsid w:val="002E28CF"/>
    <w:rsid w:val="002E3F1F"/>
    <w:rsid w:val="002E73BA"/>
    <w:rsid w:val="002F3626"/>
    <w:rsid w:val="002F5178"/>
    <w:rsid w:val="002F5AF3"/>
    <w:rsid w:val="0030754F"/>
    <w:rsid w:val="00317726"/>
    <w:rsid w:val="00332B32"/>
    <w:rsid w:val="00345506"/>
    <w:rsid w:val="00346133"/>
    <w:rsid w:val="003534A4"/>
    <w:rsid w:val="00355481"/>
    <w:rsid w:val="00361BF5"/>
    <w:rsid w:val="003701EE"/>
    <w:rsid w:val="00371C41"/>
    <w:rsid w:val="00380CED"/>
    <w:rsid w:val="00391C47"/>
    <w:rsid w:val="003A30B4"/>
    <w:rsid w:val="003A7142"/>
    <w:rsid w:val="003B04EC"/>
    <w:rsid w:val="003B05A3"/>
    <w:rsid w:val="003B5FC1"/>
    <w:rsid w:val="003B6D93"/>
    <w:rsid w:val="003B723B"/>
    <w:rsid w:val="003B758B"/>
    <w:rsid w:val="003C03C2"/>
    <w:rsid w:val="003D01CB"/>
    <w:rsid w:val="003D02FC"/>
    <w:rsid w:val="003D1154"/>
    <w:rsid w:val="003D5883"/>
    <w:rsid w:val="003D77B0"/>
    <w:rsid w:val="003D7B7E"/>
    <w:rsid w:val="003E22D2"/>
    <w:rsid w:val="003E3414"/>
    <w:rsid w:val="003E391C"/>
    <w:rsid w:val="003E61AA"/>
    <w:rsid w:val="003F0F68"/>
    <w:rsid w:val="003F1B02"/>
    <w:rsid w:val="00401564"/>
    <w:rsid w:val="00417227"/>
    <w:rsid w:val="00420EBE"/>
    <w:rsid w:val="0042304A"/>
    <w:rsid w:val="00426312"/>
    <w:rsid w:val="0043191C"/>
    <w:rsid w:val="00431AED"/>
    <w:rsid w:val="00435459"/>
    <w:rsid w:val="0043547F"/>
    <w:rsid w:val="00446D48"/>
    <w:rsid w:val="004752A1"/>
    <w:rsid w:val="00477F75"/>
    <w:rsid w:val="004800C6"/>
    <w:rsid w:val="00480ABD"/>
    <w:rsid w:val="00482E23"/>
    <w:rsid w:val="0048696E"/>
    <w:rsid w:val="004A062E"/>
    <w:rsid w:val="004A1119"/>
    <w:rsid w:val="004A228A"/>
    <w:rsid w:val="004A275F"/>
    <w:rsid w:val="004A78B7"/>
    <w:rsid w:val="004C3765"/>
    <w:rsid w:val="004D274C"/>
    <w:rsid w:val="004D7C51"/>
    <w:rsid w:val="004E26B5"/>
    <w:rsid w:val="004F2A0D"/>
    <w:rsid w:val="004F306A"/>
    <w:rsid w:val="004F72E1"/>
    <w:rsid w:val="004F7DC3"/>
    <w:rsid w:val="00502FE1"/>
    <w:rsid w:val="00522ED5"/>
    <w:rsid w:val="00542FD0"/>
    <w:rsid w:val="00562B52"/>
    <w:rsid w:val="00574E01"/>
    <w:rsid w:val="00575B9A"/>
    <w:rsid w:val="00586AF0"/>
    <w:rsid w:val="00587939"/>
    <w:rsid w:val="00592B49"/>
    <w:rsid w:val="00592D26"/>
    <w:rsid w:val="005A4A75"/>
    <w:rsid w:val="005A5EEB"/>
    <w:rsid w:val="005C4C04"/>
    <w:rsid w:val="005D5879"/>
    <w:rsid w:val="005E2B70"/>
    <w:rsid w:val="005F2CEF"/>
    <w:rsid w:val="005F6493"/>
    <w:rsid w:val="005F654F"/>
    <w:rsid w:val="00601A0B"/>
    <w:rsid w:val="006031DC"/>
    <w:rsid w:val="00606A4D"/>
    <w:rsid w:val="00611CF6"/>
    <w:rsid w:val="00621AB3"/>
    <w:rsid w:val="00631430"/>
    <w:rsid w:val="00631767"/>
    <w:rsid w:val="0063490B"/>
    <w:rsid w:val="00640FB9"/>
    <w:rsid w:val="0064411E"/>
    <w:rsid w:val="00662566"/>
    <w:rsid w:val="0066448C"/>
    <w:rsid w:val="00683ADF"/>
    <w:rsid w:val="006854BC"/>
    <w:rsid w:val="00694043"/>
    <w:rsid w:val="006A058E"/>
    <w:rsid w:val="006B01F8"/>
    <w:rsid w:val="006B02A2"/>
    <w:rsid w:val="006B0E42"/>
    <w:rsid w:val="006B63EA"/>
    <w:rsid w:val="006C0985"/>
    <w:rsid w:val="006D701B"/>
    <w:rsid w:val="006E0A71"/>
    <w:rsid w:val="006F7B97"/>
    <w:rsid w:val="0070104F"/>
    <w:rsid w:val="00715722"/>
    <w:rsid w:val="007219CD"/>
    <w:rsid w:val="007411E0"/>
    <w:rsid w:val="007543D9"/>
    <w:rsid w:val="00756360"/>
    <w:rsid w:val="00772739"/>
    <w:rsid w:val="007727C2"/>
    <w:rsid w:val="00773BDC"/>
    <w:rsid w:val="00775EE6"/>
    <w:rsid w:val="00781756"/>
    <w:rsid w:val="00783A20"/>
    <w:rsid w:val="00791B93"/>
    <w:rsid w:val="00794D62"/>
    <w:rsid w:val="00797ADB"/>
    <w:rsid w:val="007B13DB"/>
    <w:rsid w:val="007B343F"/>
    <w:rsid w:val="007B3770"/>
    <w:rsid w:val="007B7C7C"/>
    <w:rsid w:val="007D5219"/>
    <w:rsid w:val="007D7FA0"/>
    <w:rsid w:val="00800EB8"/>
    <w:rsid w:val="008020F3"/>
    <w:rsid w:val="00804A04"/>
    <w:rsid w:val="00812D13"/>
    <w:rsid w:val="00822DCA"/>
    <w:rsid w:val="00822E15"/>
    <w:rsid w:val="00830419"/>
    <w:rsid w:val="00831814"/>
    <w:rsid w:val="00837391"/>
    <w:rsid w:val="00847592"/>
    <w:rsid w:val="008514D7"/>
    <w:rsid w:val="008600C6"/>
    <w:rsid w:val="00865239"/>
    <w:rsid w:val="0086735C"/>
    <w:rsid w:val="00867E49"/>
    <w:rsid w:val="00870582"/>
    <w:rsid w:val="0087491A"/>
    <w:rsid w:val="00883B40"/>
    <w:rsid w:val="00886B04"/>
    <w:rsid w:val="00890ED9"/>
    <w:rsid w:val="008918A4"/>
    <w:rsid w:val="00891FAF"/>
    <w:rsid w:val="008970F4"/>
    <w:rsid w:val="008A2248"/>
    <w:rsid w:val="008A4D60"/>
    <w:rsid w:val="008A60BC"/>
    <w:rsid w:val="008A7C92"/>
    <w:rsid w:val="008B288C"/>
    <w:rsid w:val="008C5ADF"/>
    <w:rsid w:val="008E11BE"/>
    <w:rsid w:val="008E69B4"/>
    <w:rsid w:val="008E75D3"/>
    <w:rsid w:val="008F00CD"/>
    <w:rsid w:val="008F783B"/>
    <w:rsid w:val="00901422"/>
    <w:rsid w:val="009014C1"/>
    <w:rsid w:val="00904432"/>
    <w:rsid w:val="009059A1"/>
    <w:rsid w:val="00905A30"/>
    <w:rsid w:val="009211BF"/>
    <w:rsid w:val="00931AB6"/>
    <w:rsid w:val="0093535B"/>
    <w:rsid w:val="00935FBD"/>
    <w:rsid w:val="00936575"/>
    <w:rsid w:val="009365D5"/>
    <w:rsid w:val="00936F7A"/>
    <w:rsid w:val="00937BF3"/>
    <w:rsid w:val="0095399B"/>
    <w:rsid w:val="00965049"/>
    <w:rsid w:val="00965AC5"/>
    <w:rsid w:val="00965B95"/>
    <w:rsid w:val="00972D6C"/>
    <w:rsid w:val="009755E9"/>
    <w:rsid w:val="00980A5F"/>
    <w:rsid w:val="009838C2"/>
    <w:rsid w:val="009926C9"/>
    <w:rsid w:val="00992EE7"/>
    <w:rsid w:val="009A5CC8"/>
    <w:rsid w:val="009A6E34"/>
    <w:rsid w:val="009B17B0"/>
    <w:rsid w:val="009B1E40"/>
    <w:rsid w:val="009B4B27"/>
    <w:rsid w:val="009B5B8F"/>
    <w:rsid w:val="009B5DD1"/>
    <w:rsid w:val="009B72B3"/>
    <w:rsid w:val="009B7796"/>
    <w:rsid w:val="009C138A"/>
    <w:rsid w:val="009D0093"/>
    <w:rsid w:val="009D71FC"/>
    <w:rsid w:val="009F5504"/>
    <w:rsid w:val="00A01EBB"/>
    <w:rsid w:val="00A07E6F"/>
    <w:rsid w:val="00A11310"/>
    <w:rsid w:val="00A20DFD"/>
    <w:rsid w:val="00A26F1B"/>
    <w:rsid w:val="00A30424"/>
    <w:rsid w:val="00A31405"/>
    <w:rsid w:val="00A34064"/>
    <w:rsid w:val="00A42093"/>
    <w:rsid w:val="00A42D9C"/>
    <w:rsid w:val="00A73327"/>
    <w:rsid w:val="00A74E2B"/>
    <w:rsid w:val="00A87556"/>
    <w:rsid w:val="00AA2FCB"/>
    <w:rsid w:val="00AA3115"/>
    <w:rsid w:val="00AA42D3"/>
    <w:rsid w:val="00AA666A"/>
    <w:rsid w:val="00AB3CA0"/>
    <w:rsid w:val="00AB4EF9"/>
    <w:rsid w:val="00AC13B4"/>
    <w:rsid w:val="00AC4E8E"/>
    <w:rsid w:val="00AE3988"/>
    <w:rsid w:val="00AE57AA"/>
    <w:rsid w:val="00B0020B"/>
    <w:rsid w:val="00B07541"/>
    <w:rsid w:val="00B10123"/>
    <w:rsid w:val="00B16E38"/>
    <w:rsid w:val="00B2290B"/>
    <w:rsid w:val="00B33A3B"/>
    <w:rsid w:val="00B464F3"/>
    <w:rsid w:val="00B50C8C"/>
    <w:rsid w:val="00B57232"/>
    <w:rsid w:val="00B605DB"/>
    <w:rsid w:val="00B6173D"/>
    <w:rsid w:val="00B62EC2"/>
    <w:rsid w:val="00B6453C"/>
    <w:rsid w:val="00B64B1A"/>
    <w:rsid w:val="00B70D50"/>
    <w:rsid w:val="00B74A6F"/>
    <w:rsid w:val="00B85C14"/>
    <w:rsid w:val="00BA5A33"/>
    <w:rsid w:val="00BB2CB1"/>
    <w:rsid w:val="00BB47C2"/>
    <w:rsid w:val="00BB5624"/>
    <w:rsid w:val="00BC00B3"/>
    <w:rsid w:val="00BD13ED"/>
    <w:rsid w:val="00BD2CAE"/>
    <w:rsid w:val="00BD4DF4"/>
    <w:rsid w:val="00BD4F46"/>
    <w:rsid w:val="00BE3996"/>
    <w:rsid w:val="00BE5488"/>
    <w:rsid w:val="00BF3E89"/>
    <w:rsid w:val="00BF742F"/>
    <w:rsid w:val="00C04CBE"/>
    <w:rsid w:val="00C14007"/>
    <w:rsid w:val="00C148FD"/>
    <w:rsid w:val="00C20848"/>
    <w:rsid w:val="00C23813"/>
    <w:rsid w:val="00C23941"/>
    <w:rsid w:val="00C44B20"/>
    <w:rsid w:val="00C60E00"/>
    <w:rsid w:val="00C679C0"/>
    <w:rsid w:val="00C76C0C"/>
    <w:rsid w:val="00C942CF"/>
    <w:rsid w:val="00C95EED"/>
    <w:rsid w:val="00CA5F39"/>
    <w:rsid w:val="00CB6789"/>
    <w:rsid w:val="00CD52C5"/>
    <w:rsid w:val="00CD6900"/>
    <w:rsid w:val="00CE045F"/>
    <w:rsid w:val="00CE6EF9"/>
    <w:rsid w:val="00CF35EC"/>
    <w:rsid w:val="00CF5039"/>
    <w:rsid w:val="00CF63D5"/>
    <w:rsid w:val="00D03C46"/>
    <w:rsid w:val="00D05FBB"/>
    <w:rsid w:val="00D10FDC"/>
    <w:rsid w:val="00D1469B"/>
    <w:rsid w:val="00D30715"/>
    <w:rsid w:val="00D31881"/>
    <w:rsid w:val="00D430BF"/>
    <w:rsid w:val="00D52261"/>
    <w:rsid w:val="00D64028"/>
    <w:rsid w:val="00D67B95"/>
    <w:rsid w:val="00D73BFC"/>
    <w:rsid w:val="00D765EA"/>
    <w:rsid w:val="00D832F2"/>
    <w:rsid w:val="00D83896"/>
    <w:rsid w:val="00D861A7"/>
    <w:rsid w:val="00D92697"/>
    <w:rsid w:val="00D943F6"/>
    <w:rsid w:val="00DA275F"/>
    <w:rsid w:val="00DA47C3"/>
    <w:rsid w:val="00DA5B19"/>
    <w:rsid w:val="00DB124E"/>
    <w:rsid w:val="00DC71E2"/>
    <w:rsid w:val="00DD4016"/>
    <w:rsid w:val="00DD4F69"/>
    <w:rsid w:val="00DD5B9F"/>
    <w:rsid w:val="00DE1B69"/>
    <w:rsid w:val="00DF2B52"/>
    <w:rsid w:val="00DF5898"/>
    <w:rsid w:val="00DF60B9"/>
    <w:rsid w:val="00DF6A07"/>
    <w:rsid w:val="00E036E1"/>
    <w:rsid w:val="00E116B7"/>
    <w:rsid w:val="00E14DCF"/>
    <w:rsid w:val="00E15D3C"/>
    <w:rsid w:val="00E16F48"/>
    <w:rsid w:val="00E21436"/>
    <w:rsid w:val="00E31B59"/>
    <w:rsid w:val="00E32AC3"/>
    <w:rsid w:val="00E44477"/>
    <w:rsid w:val="00E45ED0"/>
    <w:rsid w:val="00E81EAC"/>
    <w:rsid w:val="00E84769"/>
    <w:rsid w:val="00EA0947"/>
    <w:rsid w:val="00EA4D70"/>
    <w:rsid w:val="00EA520B"/>
    <w:rsid w:val="00EA5DBD"/>
    <w:rsid w:val="00EA6588"/>
    <w:rsid w:val="00EA7B59"/>
    <w:rsid w:val="00EB0147"/>
    <w:rsid w:val="00EB05D0"/>
    <w:rsid w:val="00EB5AD7"/>
    <w:rsid w:val="00EC7A4D"/>
    <w:rsid w:val="00ED4E8E"/>
    <w:rsid w:val="00ED6C55"/>
    <w:rsid w:val="00EE1573"/>
    <w:rsid w:val="00EE4C69"/>
    <w:rsid w:val="00EE5568"/>
    <w:rsid w:val="00EF007A"/>
    <w:rsid w:val="00EF3ABE"/>
    <w:rsid w:val="00EF5B58"/>
    <w:rsid w:val="00F02D0E"/>
    <w:rsid w:val="00F05754"/>
    <w:rsid w:val="00F05F84"/>
    <w:rsid w:val="00F103EC"/>
    <w:rsid w:val="00F2539C"/>
    <w:rsid w:val="00F30D9F"/>
    <w:rsid w:val="00F34B75"/>
    <w:rsid w:val="00F41B2E"/>
    <w:rsid w:val="00F42AF9"/>
    <w:rsid w:val="00F55A2D"/>
    <w:rsid w:val="00F6112C"/>
    <w:rsid w:val="00F61957"/>
    <w:rsid w:val="00F80FD0"/>
    <w:rsid w:val="00F858A1"/>
    <w:rsid w:val="00F85F8E"/>
    <w:rsid w:val="00F928CC"/>
    <w:rsid w:val="00F932DB"/>
    <w:rsid w:val="00FA4F59"/>
    <w:rsid w:val="00FA73AE"/>
    <w:rsid w:val="00FB10EC"/>
    <w:rsid w:val="00FB3548"/>
    <w:rsid w:val="00FB4D8C"/>
    <w:rsid w:val="00FC5A1B"/>
    <w:rsid w:val="00FC65DB"/>
    <w:rsid w:val="00FD38D6"/>
    <w:rsid w:val="00FD42CC"/>
    <w:rsid w:val="00FE024B"/>
    <w:rsid w:val="00FE4094"/>
    <w:rsid w:val="00FE5139"/>
    <w:rsid w:val="00FE6EA0"/>
    <w:rsid w:val="00FE71D0"/>
    <w:rsid w:val="00FE741A"/>
    <w:rsid w:val="031000EF"/>
    <w:rsid w:val="042F3D68"/>
    <w:rsid w:val="06174A35"/>
    <w:rsid w:val="06206848"/>
    <w:rsid w:val="06290067"/>
    <w:rsid w:val="0DCC1B8C"/>
    <w:rsid w:val="0E3F4C8D"/>
    <w:rsid w:val="14951D49"/>
    <w:rsid w:val="14E30BC9"/>
    <w:rsid w:val="153F39B9"/>
    <w:rsid w:val="1A0D43FB"/>
    <w:rsid w:val="1B397687"/>
    <w:rsid w:val="1FD652C1"/>
    <w:rsid w:val="20184AF9"/>
    <w:rsid w:val="21083869"/>
    <w:rsid w:val="23536EF7"/>
    <w:rsid w:val="24470FDA"/>
    <w:rsid w:val="24A96CC9"/>
    <w:rsid w:val="25C24153"/>
    <w:rsid w:val="266E0715"/>
    <w:rsid w:val="271A4F53"/>
    <w:rsid w:val="28A829A2"/>
    <w:rsid w:val="2A2A491E"/>
    <w:rsid w:val="2C056F59"/>
    <w:rsid w:val="2DBF6474"/>
    <w:rsid w:val="2E927591"/>
    <w:rsid w:val="2FDE0A0C"/>
    <w:rsid w:val="3B0B7C69"/>
    <w:rsid w:val="40174835"/>
    <w:rsid w:val="429E0DD9"/>
    <w:rsid w:val="42A30903"/>
    <w:rsid w:val="46C630FC"/>
    <w:rsid w:val="4734734C"/>
    <w:rsid w:val="4AFC3F90"/>
    <w:rsid w:val="4FBB2D8B"/>
    <w:rsid w:val="512D36EA"/>
    <w:rsid w:val="52691A78"/>
    <w:rsid w:val="54A67197"/>
    <w:rsid w:val="54EB02F2"/>
    <w:rsid w:val="55116614"/>
    <w:rsid w:val="59337040"/>
    <w:rsid w:val="5A630DCD"/>
    <w:rsid w:val="61A01435"/>
    <w:rsid w:val="61A82A60"/>
    <w:rsid w:val="62690966"/>
    <w:rsid w:val="62A50886"/>
    <w:rsid w:val="692D1BA4"/>
    <w:rsid w:val="69B87175"/>
    <w:rsid w:val="6B6557CC"/>
    <w:rsid w:val="6C7561C2"/>
    <w:rsid w:val="6F7F5E42"/>
    <w:rsid w:val="79F422EC"/>
    <w:rsid w:val="7B292A49"/>
    <w:rsid w:val="7DA3356C"/>
    <w:rsid w:val="7F4A2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97"/>
    <w:pPr>
      <w:widowControl w:val="0"/>
      <w:jc w:val="both"/>
    </w:pPr>
    <w:rPr>
      <w:rFonts w:ascii="宋体" w:eastAsia="宋体" w:hAnsi="宋体" w:cs="Times New Roman"/>
      <w:kern w:val="1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232F97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232F97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232F97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232F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32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232F97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qFormat/>
    <w:rsid w:val="00232F97"/>
    <w:rPr>
      <w:sz w:val="21"/>
      <w:szCs w:val="21"/>
    </w:rPr>
  </w:style>
  <w:style w:type="table" w:styleId="aa">
    <w:name w:val="Table Grid"/>
    <w:basedOn w:val="a1"/>
    <w:qFormat/>
    <w:rsid w:val="00232F97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232F9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32F97"/>
    <w:rPr>
      <w:sz w:val="18"/>
      <w:szCs w:val="18"/>
    </w:rPr>
  </w:style>
  <w:style w:type="paragraph" w:customStyle="1" w:styleId="Default">
    <w:name w:val="Default"/>
    <w:qFormat/>
    <w:rsid w:val="00232F97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b">
    <w:name w:val="段"/>
    <w:qFormat/>
    <w:rsid w:val="00232F97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32F97"/>
    <w:rPr>
      <w:rFonts w:ascii="宋体" w:eastAsia="宋体" w:hAnsi="宋体" w:cs="Times New Roman"/>
      <w:kern w:val="15"/>
      <w:sz w:val="18"/>
      <w:szCs w:val="18"/>
    </w:rPr>
  </w:style>
  <w:style w:type="paragraph" w:styleId="ac">
    <w:name w:val="List Paragraph"/>
    <w:basedOn w:val="a"/>
    <w:uiPriority w:val="34"/>
    <w:qFormat/>
    <w:rsid w:val="00232F97"/>
    <w:pPr>
      <w:ind w:firstLineChars="200" w:firstLine="420"/>
    </w:pPr>
  </w:style>
  <w:style w:type="character" w:styleId="ad">
    <w:name w:val="Placeholder Text"/>
    <w:basedOn w:val="a0"/>
    <w:uiPriority w:val="99"/>
    <w:semiHidden/>
    <w:qFormat/>
    <w:rsid w:val="00232F97"/>
    <w:rPr>
      <w:color w:val="808080"/>
    </w:rPr>
  </w:style>
  <w:style w:type="character" w:customStyle="1" w:styleId="Char0">
    <w:name w:val="批注文字 Char"/>
    <w:basedOn w:val="a0"/>
    <w:link w:val="a4"/>
    <w:uiPriority w:val="99"/>
    <w:semiHidden/>
    <w:qFormat/>
    <w:rsid w:val="00232F97"/>
    <w:rPr>
      <w:rFonts w:ascii="宋体" w:eastAsia="宋体" w:hAnsi="宋体" w:cs="Times New Roman"/>
      <w:kern w:val="15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232F97"/>
    <w:rPr>
      <w:rFonts w:ascii="宋体" w:eastAsia="宋体" w:hAnsi="宋体" w:cs="Times New Roman"/>
      <w:b/>
      <w:bCs/>
      <w:kern w:val="15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Times New Roman"/>
      <w:kern w:val="1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a">
    <w:name w:val="Table Grid"/>
    <w:basedOn w:val="a1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b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eastAsia="宋体" w:hAnsi="宋体" w:cs="Times New Roman"/>
      <w:kern w:val="15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宋体" w:eastAsia="宋体" w:hAnsi="宋体" w:cs="Times New Roman"/>
      <w:kern w:val="15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宋体" w:eastAsia="宋体" w:hAnsi="宋体" w:cs="Times New Roman"/>
      <w:b/>
      <w:bCs/>
      <w:kern w:val="15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BFB7556-2847-4C36-BA82-2AFF9C817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</Words>
  <Characters>2690</Characters>
  <Application>Microsoft Office Word</Application>
  <DocSecurity>4</DocSecurity>
  <Lines>22</Lines>
  <Paragraphs>6</Paragraphs>
  <ScaleCrop>false</ScaleCrop>
  <Company>china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</dc:creator>
  <cp:lastModifiedBy>张静</cp:lastModifiedBy>
  <cp:revision>2</cp:revision>
  <cp:lastPrinted>2019-01-02T02:59:00Z</cp:lastPrinted>
  <dcterms:created xsi:type="dcterms:W3CDTF">2019-09-26T07:18:00Z</dcterms:created>
  <dcterms:modified xsi:type="dcterms:W3CDTF">2019-09-26T07:18:00Z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