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Times New Roman" w:hAnsi="Times New Roman" w:eastAsia="黑体" w:cs="Times New Roman"/>
          <w:bCs/>
          <w:sz w:val="32"/>
          <w:szCs w:val="32"/>
        </w:rPr>
      </w:pPr>
      <w:r>
        <w:rPr>
          <w:rFonts w:hint="default" w:ascii="Times New Roman" w:hAnsi="Times New Roman" w:eastAsia="黑体" w:cs="Times New Roman"/>
          <w:bCs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18" w:beforeLines="20" w:after="292" w:afterLines="50" w:line="700" w:lineRule="exact"/>
        <w:jc w:val="center"/>
        <w:textAlignment w:val="auto"/>
        <w:rPr>
          <w:rFonts w:hint="default" w:ascii="Times New Roman" w:hAnsi="Times New Roman" w:eastAsia="方正小标宋简体" w:cs="Times New Roman"/>
          <w:bCs/>
          <w:sz w:val="36"/>
          <w:szCs w:val="36"/>
        </w:rPr>
      </w:pPr>
      <w:bookmarkStart w:id="0" w:name="_GoBack"/>
      <w:r>
        <w:rPr>
          <w:rFonts w:hint="default" w:ascii="Times New Roman" w:hAnsi="Times New Roman" w:eastAsia="方正小标宋简体" w:cs="Times New Roman"/>
          <w:bCs/>
          <w:sz w:val="36"/>
          <w:szCs w:val="36"/>
        </w:rPr>
        <w:t>广东省非免疫规划疫苗接种方案（2022年版）修订内容列表</w:t>
      </w:r>
    </w:p>
    <w:bookmarkEnd w:id="0"/>
    <w:tbl>
      <w:tblPr>
        <w:tblStyle w:val="3"/>
        <w:tblW w:w="13751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1"/>
        <w:gridCol w:w="1412"/>
        <w:gridCol w:w="4895"/>
        <w:gridCol w:w="6613"/>
      </w:tblGrid>
      <w:tr>
        <w:tblPrEx>
          <w:tblLayout w:type="fixed"/>
        </w:tblPrEx>
        <w:trPr>
          <w:trHeight w:val="375" w:hRule="atLeast"/>
          <w:tblHeader/>
          <w:jc w:val="center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kern w:val="0"/>
                <w:sz w:val="28"/>
                <w:szCs w:val="28"/>
                <w:lang w:bidi="ar"/>
              </w:rPr>
              <w:t>涉及内容</w:t>
            </w:r>
          </w:p>
        </w:tc>
        <w:tc>
          <w:tcPr>
            <w:tcW w:w="4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kern w:val="0"/>
                <w:sz w:val="28"/>
                <w:szCs w:val="28"/>
                <w:lang w:bidi="ar"/>
              </w:rPr>
              <w:t>2021年版</w:t>
            </w:r>
          </w:p>
        </w:tc>
        <w:tc>
          <w:tcPr>
            <w:tcW w:w="6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kern w:val="0"/>
                <w:sz w:val="28"/>
                <w:szCs w:val="28"/>
                <w:lang w:bidi="ar"/>
              </w:rPr>
              <w:t>2022</w:t>
            </w:r>
            <w:r>
              <w:rPr>
                <w:rStyle w:val="5"/>
                <w:rFonts w:hint="default" w:ascii="Times New Roman" w:hAnsi="Times New Roman" w:eastAsia="黑体" w:cs="Times New Roman"/>
                <w:b w:val="0"/>
                <w:bCs/>
                <w:lang w:bidi="ar"/>
              </w:rPr>
              <w:t>年版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5" w:hRule="atLeast"/>
          <w:jc w:val="center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lang w:bidi="ar"/>
              </w:rPr>
              <w:t>增加同时接种原则</w:t>
            </w:r>
          </w:p>
        </w:tc>
        <w:tc>
          <w:tcPr>
            <w:tcW w:w="4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无</w:t>
            </w:r>
          </w:p>
        </w:tc>
        <w:tc>
          <w:tcPr>
            <w:tcW w:w="6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第一部分“接种原则”补充第三点内容</w:t>
            </w:r>
          </w:p>
          <w:p>
            <w:pPr>
              <w:spacing w:line="400" w:lineRule="exact"/>
              <w:jc w:val="left"/>
              <w:textAlignment w:val="center"/>
              <w:rPr>
                <w:rStyle w:val="6"/>
                <w:rFonts w:hint="default" w:ascii="Times New Roman" w:hAnsi="Times New Roman" w:eastAsia="仿宋_GB2312" w:cs="Times New Roman"/>
                <w:sz w:val="24"/>
                <w:szCs w:val="24"/>
                <w:lang w:bidi="ar"/>
              </w:rPr>
            </w:pPr>
            <w:r>
              <w:rPr>
                <w:rStyle w:val="6"/>
                <w:rFonts w:hint="default" w:ascii="Times New Roman" w:hAnsi="Times New Roman" w:eastAsia="仿宋_GB2312" w:cs="Times New Roman"/>
                <w:sz w:val="24"/>
                <w:szCs w:val="24"/>
                <w:lang w:bidi="ar"/>
              </w:rPr>
              <w:t>（三）疫苗同时接种原则</w:t>
            </w:r>
          </w:p>
          <w:p>
            <w:pPr>
              <w:spacing w:line="400" w:lineRule="exact"/>
              <w:ind w:firstLine="495"/>
              <w:jc w:val="left"/>
              <w:textAlignment w:val="center"/>
              <w:rPr>
                <w:rStyle w:val="6"/>
                <w:rFonts w:hint="default" w:ascii="Times New Roman" w:hAnsi="Times New Roman" w:eastAsia="仿宋_GB2312" w:cs="Times New Roman"/>
                <w:sz w:val="24"/>
                <w:szCs w:val="24"/>
                <w:lang w:bidi="ar"/>
              </w:rPr>
            </w:pPr>
            <w:r>
              <w:rPr>
                <w:rStyle w:val="6"/>
                <w:rFonts w:hint="default" w:ascii="Times New Roman" w:hAnsi="Times New Roman" w:eastAsia="仿宋_GB2312" w:cs="Times New Roman"/>
                <w:sz w:val="24"/>
                <w:szCs w:val="24"/>
                <w:lang w:bidi="ar"/>
              </w:rPr>
              <w:t>疫苗均可按照《国家免疫规划疫苗儿童免疫程序及说明（2021年版）》和《非免疫规划疫苗使用指导原则（2020年版）》同时接种，非免疫规划疫苗说明书中有特别说明的情况除外。</w:t>
            </w:r>
          </w:p>
          <w:p>
            <w:pPr>
              <w:spacing w:line="400" w:lineRule="exact"/>
              <w:ind w:firstLine="495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Style w:val="6"/>
                <w:rFonts w:hint="default" w:ascii="Times New Roman" w:hAnsi="Times New Roman" w:eastAsia="仿宋_GB2312" w:cs="Times New Roman"/>
                <w:sz w:val="24"/>
                <w:szCs w:val="24"/>
                <w:lang w:bidi="ar"/>
              </w:rPr>
              <w:t>《广东省多种疫苗同时接种指导意见（2019年版）》（粤卫办函〔2019〕55 号）废止。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4" w:hRule="atLeast"/>
          <w:jc w:val="center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lang w:bidi="ar"/>
              </w:rPr>
              <w:t>重组乙型肝炎疫苗</w:t>
            </w:r>
          </w:p>
        </w:tc>
        <w:tc>
          <w:tcPr>
            <w:tcW w:w="4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3.免疫程序：按照0、1、6个月接种3剂。</w:t>
            </w:r>
          </w:p>
          <w:p>
            <w:pPr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高风险人群接种第3剂乙型肝炎疫苗1-2个月后进行 HBsAg和抗-HBs检测，若发现HBsAg阴性、抗-HBs＜10mIU/ml，按照0、1、6月免疫程序再接种3剂乙型肝炎疫苗或可接种 1 剂 60µg乙型肝炎疫苗（仅限16岁以上乙型肝炎易感者）</w:t>
            </w:r>
          </w:p>
        </w:tc>
        <w:tc>
          <w:tcPr>
            <w:tcW w:w="6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3.免疫程序：按照0、1、6个月接种3剂。</w:t>
            </w:r>
          </w:p>
          <w:p>
            <w:pPr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高风险人群接种第3剂乙型肝炎疫苗后1-2个月进行 HBsAg和抗-HBs检测，若发现HBsAg阴性、抗-HBs＜10mIU/ml，按照0、1、6月免疫程序再接种3剂乙型肝炎疫苗，或可接种 1 剂 60µg乙型肝炎疫苗（仅限16岁及以上乙型肝炎易感者</w:t>
            </w:r>
            <w:r>
              <w:rPr>
                <w:rStyle w:val="6"/>
                <w:rFonts w:hint="default" w:ascii="Times New Roman" w:hAnsi="Times New Roman" w:eastAsia="仿宋_GB2312" w:cs="Times New Roman"/>
                <w:sz w:val="24"/>
                <w:szCs w:val="24"/>
                <w:lang w:bidi="ar"/>
              </w:rPr>
              <w:t>，若接种后1-2个月经采血确认其抗-HBs仍然＜10mIU/ml再考虑接种第2剂，两剂间隔至少4周）</w:t>
            </w:r>
            <w:r>
              <w:rPr>
                <w:rStyle w:val="7"/>
                <w:rFonts w:hint="default" w:ascii="Times New Roman" w:hAnsi="Times New Roman" w:eastAsia="仿宋_GB2312" w:cs="Times New Roman"/>
                <w:sz w:val="24"/>
                <w:szCs w:val="24"/>
                <w:lang w:bidi="ar"/>
              </w:rPr>
              <w:t>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lang w:bidi="ar"/>
              </w:rPr>
              <w:t>13价肺炎球菌多糖结合疫苗</w:t>
            </w:r>
          </w:p>
        </w:tc>
        <w:tc>
          <w:tcPr>
            <w:tcW w:w="4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针对两种载体的疫苗，白喉毒素无毒突变体（CRM197）载体，以及破伤风类毒素（TT）载体，分别描述免疫程序。</w:t>
            </w:r>
          </w:p>
        </w:tc>
        <w:tc>
          <w:tcPr>
            <w:tcW w:w="6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1.补充说明：目前我国批准上市的13价肺炎球菌多糖结合疫苗按照载体的不同分为三种，分别为白喉毒素无毒突变体（CRM197）载体、破伤风类毒素（TT）载体、破伤风类毒素/白喉类毒素（TT/DT）载体。</w:t>
            </w:r>
          </w:p>
          <w:p>
            <w:pPr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2.针对三种载体的疫苗，分别描述免疫程序。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1" w:hRule="atLeast"/>
          <w:jc w:val="center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lang w:bidi="ar"/>
              </w:rPr>
              <w:t>含脑膜炎球菌成分疫苗</w:t>
            </w:r>
          </w:p>
        </w:tc>
        <w:tc>
          <w:tcPr>
            <w:tcW w:w="4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（3）免疫程序：不同年龄和不同疫苗的接种程序不同，按疫苗说明书接种1剂至3剂。</w:t>
            </w:r>
          </w:p>
        </w:tc>
        <w:tc>
          <w:tcPr>
            <w:tcW w:w="6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220" w:line="400" w:lineRule="exac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（3）免疫程序：不同年龄和不同疫苗的接种程序不同，按疫苗说明书接种1剂至</w:t>
            </w:r>
            <w:r>
              <w:rPr>
                <w:rStyle w:val="6"/>
                <w:rFonts w:hint="default" w:ascii="Times New Roman" w:hAnsi="Times New Roman" w:eastAsia="仿宋_GB2312" w:cs="Times New Roman"/>
                <w:sz w:val="24"/>
                <w:szCs w:val="24"/>
                <w:lang w:bidi="ar"/>
              </w:rPr>
              <w:t>4</w:t>
            </w:r>
            <w:r>
              <w:rPr>
                <w:rStyle w:val="7"/>
                <w:rFonts w:hint="default" w:ascii="Times New Roman" w:hAnsi="Times New Roman" w:eastAsia="仿宋_GB2312" w:cs="Times New Roman"/>
                <w:sz w:val="24"/>
                <w:szCs w:val="24"/>
                <w:lang w:bidi="ar"/>
              </w:rPr>
              <w:t>剂。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0" w:hRule="atLeast"/>
          <w:jc w:val="center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lang w:bidi="ar"/>
              </w:rPr>
              <w:t>流感疫苗</w:t>
            </w:r>
          </w:p>
        </w:tc>
        <w:tc>
          <w:tcPr>
            <w:tcW w:w="4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2.推荐接种人群：适用于6月龄（或36月龄）及以上人群。推荐优先接种人群：</w:t>
            </w:r>
          </w:p>
          <w:p>
            <w:pPr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（1）医务人员,包括临床救治人员、公共卫生人员、卫生检疫人员等；</w:t>
            </w:r>
          </w:p>
          <w:p>
            <w:pPr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（2）养老机构、长期护理机构、福利院等人群聚集场所脆弱人群及员工；</w:t>
            </w:r>
          </w:p>
          <w:p>
            <w:pPr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（3）重点场所人群，如托幼机构、中小学校的教师和学生，监所机构的在押人员及工作人员等；</w:t>
            </w:r>
          </w:p>
          <w:p>
            <w:pPr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（4）其他流感高风险人群，包括60岁及以上的居家老年人、6月龄-5岁儿童、特定慢性病患者、6月龄以下婴儿的家庭成员和看护人员、孕妇（减毒活疫苗除外）或准备在流感季节怀孕的女性。</w:t>
            </w:r>
          </w:p>
          <w:p>
            <w:pPr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3.免疫程序：按疫苗说明书接种1剂或2剂。</w:t>
            </w:r>
          </w:p>
        </w:tc>
        <w:tc>
          <w:tcPr>
            <w:tcW w:w="6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2.推荐接种人群：适用于6月龄（或36月龄）及以上人群。推荐优先接种人群：</w:t>
            </w:r>
          </w:p>
          <w:p>
            <w:pPr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（1）医务人员,包括临床救治人员、公共卫生人员、卫生检疫人员等；</w:t>
            </w:r>
          </w:p>
          <w:p>
            <w:pPr>
              <w:spacing w:line="400" w:lineRule="exact"/>
              <w:jc w:val="left"/>
              <w:textAlignment w:val="center"/>
              <w:rPr>
                <w:rStyle w:val="6"/>
                <w:rFonts w:hint="default" w:ascii="Times New Roman" w:hAnsi="Times New Roman" w:eastAsia="仿宋_GB2312" w:cs="Times New Roman"/>
                <w:sz w:val="24"/>
                <w:szCs w:val="24"/>
                <w:lang w:bidi="ar"/>
              </w:rPr>
            </w:pPr>
            <w:r>
              <w:rPr>
                <w:rStyle w:val="6"/>
                <w:rFonts w:hint="default" w:ascii="Times New Roman" w:hAnsi="Times New Roman" w:eastAsia="仿宋_GB2312" w:cs="Times New Roman"/>
                <w:sz w:val="24"/>
                <w:szCs w:val="24"/>
                <w:lang w:bidi="ar"/>
              </w:rPr>
              <w:t>（2）大型活动参加人员和保障人员；</w:t>
            </w:r>
          </w:p>
          <w:p>
            <w:pPr>
              <w:spacing w:line="400" w:lineRule="exact"/>
              <w:jc w:val="left"/>
              <w:textAlignment w:val="center"/>
              <w:rPr>
                <w:rStyle w:val="7"/>
                <w:rFonts w:hint="default" w:ascii="Times New Roman" w:hAnsi="Times New Roman" w:eastAsia="仿宋_GB2312" w:cs="Times New Roman"/>
                <w:sz w:val="24"/>
                <w:szCs w:val="24"/>
                <w:lang w:bidi="ar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sz w:val="24"/>
                <w:szCs w:val="24"/>
                <w:lang w:bidi="ar"/>
              </w:rPr>
              <w:t>（3）养老机构、长期护理机构、福利院等人群聚集场所脆弱人群及员工；</w:t>
            </w:r>
          </w:p>
          <w:p>
            <w:pPr>
              <w:spacing w:line="400" w:lineRule="exact"/>
              <w:jc w:val="left"/>
              <w:textAlignment w:val="center"/>
              <w:rPr>
                <w:rStyle w:val="7"/>
                <w:rFonts w:hint="default" w:ascii="Times New Roman" w:hAnsi="Times New Roman" w:eastAsia="仿宋_GB2312" w:cs="Times New Roman"/>
                <w:sz w:val="24"/>
                <w:szCs w:val="24"/>
                <w:lang w:bidi="ar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sz w:val="24"/>
                <w:szCs w:val="24"/>
                <w:lang w:bidi="ar"/>
              </w:rPr>
              <w:t>（4）重点场所人群，如托幼机构、中小学校的教师和学生，监所机构的在押人员及工作人员等；</w:t>
            </w:r>
          </w:p>
          <w:p>
            <w:pPr>
              <w:spacing w:line="400" w:lineRule="exact"/>
              <w:jc w:val="left"/>
              <w:textAlignment w:val="center"/>
              <w:rPr>
                <w:rStyle w:val="7"/>
                <w:rFonts w:hint="default" w:ascii="Times New Roman" w:hAnsi="Times New Roman" w:eastAsia="仿宋_GB2312" w:cs="Times New Roman"/>
                <w:sz w:val="24"/>
                <w:szCs w:val="24"/>
                <w:lang w:bidi="ar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sz w:val="24"/>
                <w:szCs w:val="24"/>
                <w:lang w:bidi="ar"/>
              </w:rPr>
              <w:t>（5）其他流感高风险人群，包括60岁及以上的居家老年人、6月龄-5岁儿童、特定慢性病患者、6月龄以下婴儿的家庭成员和看护人员、孕妇（减毒活疫苗除外）或准备在流感季节怀孕的女性。</w:t>
            </w:r>
          </w:p>
          <w:p>
            <w:pPr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sz w:val="24"/>
                <w:szCs w:val="24"/>
                <w:lang w:bidi="ar"/>
              </w:rPr>
              <w:t>3.免疫程序：</w:t>
            </w:r>
            <w:r>
              <w:rPr>
                <w:rStyle w:val="6"/>
                <w:rFonts w:hint="default" w:ascii="Times New Roman" w:hAnsi="Times New Roman" w:eastAsia="仿宋_GB2312" w:cs="Times New Roman"/>
                <w:sz w:val="24"/>
                <w:szCs w:val="24"/>
                <w:lang w:bidi="ar"/>
              </w:rPr>
              <w:t>每年接种，</w:t>
            </w:r>
            <w:r>
              <w:rPr>
                <w:rStyle w:val="7"/>
                <w:rFonts w:hint="default" w:ascii="Times New Roman" w:hAnsi="Times New Roman" w:eastAsia="仿宋_GB2312" w:cs="Times New Roman"/>
                <w:sz w:val="24"/>
                <w:szCs w:val="24"/>
                <w:lang w:bidi="ar"/>
              </w:rPr>
              <w:t>按疫苗说明书接种1剂或2剂。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0" w:hRule="atLeast"/>
          <w:jc w:val="center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lang w:bidi="ar"/>
              </w:rPr>
              <w:t>腮腺炎减毒活疫苗</w:t>
            </w:r>
          </w:p>
        </w:tc>
        <w:tc>
          <w:tcPr>
            <w:tcW w:w="4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（2）推荐接种人群：推荐18岁及以上流行性腮腺炎易感者接种（育龄妇女接种该疫苗后3个月内避免怀孕）。</w:t>
            </w:r>
          </w:p>
        </w:tc>
        <w:tc>
          <w:tcPr>
            <w:tcW w:w="6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（2）推荐接种人群：</w:t>
            </w:r>
            <w:r>
              <w:rPr>
                <w:rStyle w:val="6"/>
                <w:rFonts w:hint="default" w:ascii="Times New Roman" w:hAnsi="Times New Roman" w:eastAsia="仿宋_GB2312" w:cs="Times New Roman"/>
                <w:sz w:val="24"/>
                <w:szCs w:val="24"/>
                <w:lang w:bidi="ar"/>
              </w:rPr>
              <w:t>8月龄及以上</w:t>
            </w:r>
            <w:r>
              <w:rPr>
                <w:rStyle w:val="7"/>
                <w:rFonts w:hint="default" w:ascii="Times New Roman" w:hAnsi="Times New Roman" w:eastAsia="仿宋_GB2312" w:cs="Times New Roman"/>
                <w:sz w:val="24"/>
                <w:szCs w:val="24"/>
                <w:lang w:bidi="ar"/>
              </w:rPr>
              <w:t>流行性腮腺炎易感者（育龄妇女接种该疫苗后3个月内避免怀孕）。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0" w:hRule="atLeast"/>
          <w:jc w:val="center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lang w:bidi="ar"/>
              </w:rPr>
              <w:t>麻腮风联合减毒活疫苗</w:t>
            </w:r>
          </w:p>
        </w:tc>
        <w:tc>
          <w:tcPr>
            <w:tcW w:w="4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（2）推荐接种人群：推荐18岁及以上麻疹、风疹和流行性腮腺炎易感者接种（育龄妇女接种该疫苗后3个月内避免怀孕）。</w:t>
            </w:r>
          </w:p>
        </w:tc>
        <w:tc>
          <w:tcPr>
            <w:tcW w:w="6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（2）推荐接种人群：</w:t>
            </w:r>
            <w:r>
              <w:rPr>
                <w:rStyle w:val="6"/>
                <w:rFonts w:hint="default" w:ascii="Times New Roman" w:hAnsi="Times New Roman" w:eastAsia="仿宋_GB2312" w:cs="Times New Roman"/>
                <w:sz w:val="24"/>
                <w:szCs w:val="24"/>
                <w:lang w:bidi="ar"/>
              </w:rPr>
              <w:t>8月龄及以上</w:t>
            </w:r>
            <w:r>
              <w:rPr>
                <w:rStyle w:val="7"/>
                <w:rFonts w:hint="default" w:ascii="Times New Roman" w:hAnsi="Times New Roman" w:eastAsia="仿宋_GB2312" w:cs="Times New Roman"/>
                <w:sz w:val="24"/>
                <w:szCs w:val="24"/>
                <w:lang w:bidi="ar"/>
              </w:rPr>
              <w:t>麻疹、风疹或流行性腮腺炎易感者（育龄妇女接种该疫苗后3个月内避免怀孕）。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0" w:hRule="atLeast"/>
          <w:jc w:val="center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lang w:bidi="ar"/>
              </w:rPr>
              <w:t>麻疹风疹联合减毒活疫苗</w:t>
            </w:r>
          </w:p>
        </w:tc>
        <w:tc>
          <w:tcPr>
            <w:tcW w:w="4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（2）推荐接种人群：推荐18岁及以上麻疹和/或风疹易感者接种（育龄妇女接种该疫苗后3个月内避免怀孕）。</w:t>
            </w:r>
          </w:p>
        </w:tc>
        <w:tc>
          <w:tcPr>
            <w:tcW w:w="6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（2）推荐接种人群：</w:t>
            </w:r>
            <w:r>
              <w:rPr>
                <w:rStyle w:val="6"/>
                <w:rFonts w:hint="default" w:ascii="Times New Roman" w:hAnsi="Times New Roman" w:eastAsia="仿宋_GB2312" w:cs="Times New Roman"/>
                <w:sz w:val="24"/>
                <w:szCs w:val="24"/>
                <w:lang w:bidi="ar"/>
              </w:rPr>
              <w:t>8月龄及以上</w:t>
            </w:r>
            <w:r>
              <w:rPr>
                <w:rStyle w:val="7"/>
                <w:rFonts w:hint="default" w:ascii="Times New Roman" w:hAnsi="Times New Roman" w:eastAsia="仿宋_GB2312" w:cs="Times New Roman"/>
                <w:sz w:val="24"/>
                <w:szCs w:val="24"/>
                <w:lang w:bidi="ar"/>
              </w:rPr>
              <w:t>麻疹或风疹易感者（育龄妇女接种该疫苗后3个月内避免怀孕）。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  <w:jc w:val="center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lang w:bidi="ar"/>
              </w:rPr>
              <w:t>麻疹腮腺炎联合减毒活疫苗</w:t>
            </w:r>
          </w:p>
        </w:tc>
        <w:tc>
          <w:tcPr>
            <w:tcW w:w="4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无</w:t>
            </w:r>
          </w:p>
        </w:tc>
        <w:tc>
          <w:tcPr>
            <w:tcW w:w="6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0" w:hRule="atLeast"/>
          <w:jc w:val="center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lang w:bidi="ar"/>
              </w:rPr>
              <w:t>人乳头瘤病毒疫苗</w:t>
            </w:r>
          </w:p>
        </w:tc>
        <w:tc>
          <w:tcPr>
            <w:tcW w:w="4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人乳头瘤病毒感染是生殖道常见的病毒性感染，可在人群中引发一系列疾病，包括癌前病变、子宫颈癌、生殖器疣等。主要通过性接触传播，也可通过皮肤接触传播。人群普遍易感。预防措施包括：接种疫苗，子宫颈癌筛查，安全性行为等。</w:t>
            </w:r>
          </w:p>
          <w:p>
            <w:pPr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1.疫苗作用：预防疫苗所含人乳头瘤病毒型别所致感染，以及持续感染可能导致的1级、2级、3级子宫颈上皮内瘤样病变、子宫颈原位腺癌和子宫颈癌等。</w:t>
            </w:r>
          </w:p>
          <w:p>
            <w:pPr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2.推荐接种人群：9岁-45岁女性尽早接种，9岁-14岁女性优先推荐接种。</w:t>
            </w:r>
            <w:r>
              <w:rPr>
                <w:rStyle w:val="6"/>
                <w:rFonts w:hint="default" w:ascii="Times New Roman" w:hAnsi="Times New Roman" w:eastAsia="仿宋_GB2312" w:cs="Times New Roman"/>
                <w:sz w:val="24"/>
                <w:szCs w:val="24"/>
                <w:lang w:bidi="ar"/>
              </w:rPr>
              <w:t>不同品种人乳头瘤病毒疫苗适用人群不同。</w:t>
            </w:r>
          </w:p>
        </w:tc>
        <w:tc>
          <w:tcPr>
            <w:tcW w:w="6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left"/>
              <w:textAlignment w:val="center"/>
              <w:rPr>
                <w:rStyle w:val="7"/>
                <w:rFonts w:hint="default" w:ascii="Times New Roman" w:hAnsi="Times New Roman" w:eastAsia="仿宋_GB2312" w:cs="Times New Roman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人乳头瘤病毒感染是生殖道常见的病毒性感染，可在人群中引发一系列疾病，包括癌前病变、子宫颈癌、生殖器疣等。主要通过性接触传播，也可通过</w:t>
            </w:r>
            <w:r>
              <w:rPr>
                <w:rStyle w:val="6"/>
                <w:rFonts w:hint="default" w:ascii="Times New Roman" w:hAnsi="Times New Roman" w:eastAsia="仿宋_GB2312" w:cs="Times New Roman"/>
                <w:sz w:val="24"/>
                <w:szCs w:val="24"/>
                <w:lang w:bidi="ar"/>
              </w:rPr>
              <w:t>破损的皮肤、黏膜</w:t>
            </w:r>
            <w:r>
              <w:rPr>
                <w:rStyle w:val="7"/>
                <w:rFonts w:hint="default" w:ascii="Times New Roman" w:hAnsi="Times New Roman" w:eastAsia="仿宋_GB2312" w:cs="Times New Roman"/>
                <w:sz w:val="24"/>
                <w:szCs w:val="24"/>
                <w:lang w:bidi="ar"/>
              </w:rPr>
              <w:t>传播。人群普遍易感。预防措施包括：接种疫苗，宫颈癌筛查，安全性行为等。</w:t>
            </w:r>
          </w:p>
          <w:p>
            <w:pPr>
              <w:spacing w:line="400" w:lineRule="exact"/>
              <w:jc w:val="left"/>
              <w:textAlignment w:val="center"/>
              <w:rPr>
                <w:rStyle w:val="7"/>
                <w:rFonts w:hint="default" w:ascii="Times New Roman" w:hAnsi="Times New Roman" w:eastAsia="仿宋_GB2312" w:cs="Times New Roman"/>
                <w:sz w:val="24"/>
                <w:szCs w:val="24"/>
                <w:lang w:bidi="ar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sz w:val="24"/>
                <w:szCs w:val="24"/>
                <w:lang w:bidi="ar"/>
              </w:rPr>
              <w:t>1.疫苗作用：预防疫苗所含人乳头瘤病毒型别所致感染，以及</w:t>
            </w:r>
            <w:r>
              <w:rPr>
                <w:rStyle w:val="6"/>
                <w:rFonts w:hint="default" w:ascii="Times New Roman" w:hAnsi="Times New Roman" w:eastAsia="仿宋_GB2312" w:cs="Times New Roman"/>
                <w:sz w:val="24"/>
                <w:szCs w:val="24"/>
                <w:lang w:bidi="ar"/>
              </w:rPr>
              <w:t>可能导致的低级别、高级别鳞状上皮内病变（1、2、3级子宫颈上皮内瘤病变）</w:t>
            </w:r>
            <w:r>
              <w:rPr>
                <w:rStyle w:val="7"/>
                <w:rFonts w:hint="default" w:ascii="Times New Roman" w:hAnsi="Times New Roman" w:eastAsia="仿宋_GB2312" w:cs="Times New Roman"/>
                <w:sz w:val="24"/>
                <w:szCs w:val="24"/>
                <w:lang w:bidi="ar"/>
              </w:rPr>
              <w:t>、子宫颈原位腺癌和子宫颈癌等。</w:t>
            </w:r>
          </w:p>
          <w:p>
            <w:pPr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sz w:val="24"/>
                <w:szCs w:val="24"/>
                <w:lang w:bidi="ar"/>
              </w:rPr>
              <w:t>2.推荐接种人群：9岁-45岁女性尽早接种，推荐9岁-14岁女性优先接种。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9" w:hRule="atLeast"/>
          <w:jc w:val="center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lang w:bidi="ar"/>
              </w:rPr>
              <w:t>重组戊型肝炎疫苗</w:t>
            </w:r>
          </w:p>
        </w:tc>
        <w:tc>
          <w:tcPr>
            <w:tcW w:w="4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2.推荐接种人群：适用于16岁及以上戊型肝炎易感者。推荐高风险人群（包括畜牧养殖者、餐饮业人员、疫区旅行者、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4"/>
                <w:szCs w:val="24"/>
                <w:lang w:bidi="ar"/>
              </w:rPr>
              <w:t>慢性肝病患者</w:t>
            </w:r>
            <w:r>
              <w:rPr>
                <w:rStyle w:val="7"/>
                <w:rFonts w:hint="default" w:ascii="Times New Roman" w:hAnsi="Times New Roman" w:eastAsia="仿宋_GB2312" w:cs="Times New Roman"/>
                <w:sz w:val="24"/>
                <w:szCs w:val="24"/>
                <w:lang w:bidi="ar"/>
              </w:rPr>
              <w:t>等）接种。</w:t>
            </w:r>
          </w:p>
        </w:tc>
        <w:tc>
          <w:tcPr>
            <w:tcW w:w="6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2.推荐接种人群：适用于16岁及以上戊型肝炎易感者。推荐高风险人群（包括畜牧养殖者、餐饮业人员、疫区旅行者等）接种。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  <w:jc w:val="center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lang w:bidi="ar"/>
              </w:rPr>
              <w:t>其他事项</w:t>
            </w:r>
          </w:p>
        </w:tc>
        <w:tc>
          <w:tcPr>
            <w:tcW w:w="4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（二）特殊健康状态人群接种建议可参考《特殊状态儿童预防接种（广东）专家共识》（中华实用儿科临床杂志2020年4月第35卷第6期401-409页）。</w:t>
            </w:r>
          </w:p>
        </w:tc>
        <w:tc>
          <w:tcPr>
            <w:tcW w:w="6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删除</w:t>
            </w:r>
          </w:p>
        </w:tc>
      </w:tr>
    </w:tbl>
    <w:p>
      <w:pPr>
        <w:spacing w:line="560" w:lineRule="exact"/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  <w:sz w:val="32"/>
          <w:szCs w:val="32"/>
        </w:rPr>
      </w:pPr>
    </w:p>
    <w:p>
      <w:pPr>
        <w:tabs>
          <w:tab w:val="left" w:pos="8448"/>
        </w:tabs>
        <w:ind w:firstLine="606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ind w:firstLine="604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600" w:lineRule="exact"/>
        <w:jc w:val="center"/>
        <w:rPr>
          <w:rFonts w:hint="default" w:ascii="Times New Roman" w:hAnsi="Times New Roman" w:cs="Times New Roman"/>
        </w:rPr>
        <w:sectPr>
          <w:pgSz w:w="16783" w:h="11850" w:orient="landscape"/>
          <w:pgMar w:top="1531" w:right="1531" w:bottom="1531" w:left="1531" w:header="850" w:footer="1332" w:gutter="0"/>
          <w:lnNumType w:countBy="0" w:restart="continuous"/>
          <w:pgNumType w:fmt="numberInDash"/>
          <w:cols w:space="720" w:num="1"/>
          <w:docGrid w:type="linesAndChars" w:linePitch="579" w:charSpace="-3633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54411E"/>
    <w:rsid w:val="4D544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sz w:val="28"/>
      <w:szCs w:val="20"/>
    </w:rPr>
  </w:style>
  <w:style w:type="character" w:customStyle="1" w:styleId="5">
    <w:name w:val="font21"/>
    <w:qFormat/>
    <w:uiPriority w:val="0"/>
    <w:rPr>
      <w:rFonts w:hint="eastAsia" w:ascii="宋体" w:hAnsi="宋体" w:eastAsia="宋体" w:cs="宋体"/>
      <w:b/>
      <w:color w:val="000000"/>
      <w:sz w:val="28"/>
      <w:szCs w:val="28"/>
      <w:u w:val="none"/>
    </w:rPr>
  </w:style>
  <w:style w:type="character" w:customStyle="1" w:styleId="6">
    <w:name w:val="font31"/>
    <w:qFormat/>
    <w:uiPriority w:val="0"/>
    <w:rPr>
      <w:rFonts w:hint="eastAsia" w:ascii="宋体" w:hAnsi="宋体" w:eastAsia="宋体" w:cs="宋体"/>
      <w:b/>
      <w:color w:val="000000"/>
      <w:sz w:val="22"/>
      <w:szCs w:val="22"/>
      <w:u w:val="none"/>
    </w:rPr>
  </w:style>
  <w:style w:type="character" w:customStyle="1" w:styleId="7">
    <w:name w:val="font01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8">
    <w:name w:val="font41"/>
    <w:qFormat/>
    <w:uiPriority w:val="0"/>
    <w:rPr>
      <w:rFonts w:hint="eastAsia" w:ascii="宋体" w:hAnsi="宋体" w:eastAsia="宋体" w:cs="宋体"/>
      <w:b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省卫生和计划生育委员会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2021-12-31T06:20:00Z</dcterms:created>
  <dc:creator>user</dc:creator>
  <cp:lastModifiedBy>user</cp:lastModifiedBy>
  <dcterms:modified xsi:type="dcterms:W3CDTF">2021-12-31T06:21:02Z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