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F5" w:rsidRDefault="00E25803">
      <w:pPr>
        <w:spacing w:line="52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</w:p>
    <w:p w:rsidR="002C4DF5" w:rsidRDefault="00E25803"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2"/>
        </w:rPr>
      </w:pPr>
      <w:r>
        <w:rPr>
          <w:rFonts w:ascii="方正小标宋简体" w:eastAsia="方正小标宋简体" w:hAnsi="Calibri" w:cs="Times New Roman" w:hint="eastAsia"/>
          <w:color w:val="000000" w:themeColor="text1"/>
          <w:sz w:val="36"/>
          <w:szCs w:val="32"/>
        </w:rPr>
        <w:t>2022</w:t>
      </w:r>
      <w:r>
        <w:rPr>
          <w:rFonts w:ascii="方正小标宋简体" w:eastAsia="方正小标宋简体" w:hAnsi="Calibri" w:cs="Times New Roman" w:hint="eastAsia"/>
          <w:color w:val="000000" w:themeColor="text1"/>
          <w:sz w:val="36"/>
          <w:szCs w:val="32"/>
        </w:rPr>
        <w:t>年广东省</w:t>
      </w:r>
      <w:r>
        <w:rPr>
          <w:rFonts w:ascii="方正小标宋简体" w:eastAsia="方正小标宋简体" w:hAnsi="Calibri" w:cs="Times New Roman" w:hint="eastAsia"/>
          <w:color w:val="000000" w:themeColor="text1"/>
          <w:sz w:val="36"/>
          <w:szCs w:val="32"/>
        </w:rPr>
        <w:t>疾病预防控制中心</w:t>
      </w:r>
      <w:r>
        <w:rPr>
          <w:rFonts w:ascii="方正小标宋简体" w:eastAsia="方正小标宋简体" w:hAnsi="Calibri" w:cs="Times New Roman" w:hint="eastAsia"/>
          <w:color w:val="000000" w:themeColor="text1"/>
          <w:sz w:val="36"/>
          <w:szCs w:val="32"/>
        </w:rPr>
        <w:t>考试录用</w:t>
      </w:r>
      <w:r>
        <w:rPr>
          <w:rFonts w:ascii="方正小标宋简体" w:eastAsia="方正小标宋简体" w:hAnsi="Calibri" w:cs="Times New Roman" w:hint="eastAsia"/>
          <w:color w:val="000000" w:themeColor="text1"/>
          <w:sz w:val="36"/>
          <w:szCs w:val="32"/>
        </w:rPr>
        <w:t>参照公务员法管理单位工作人员</w:t>
      </w:r>
      <w:r>
        <w:rPr>
          <w:rFonts w:ascii="方正小标宋简体" w:eastAsia="方正小标宋简体" w:hAnsi="Calibri" w:cs="Times New Roman" w:hint="eastAsia"/>
          <w:color w:val="000000" w:themeColor="text1"/>
          <w:sz w:val="36"/>
          <w:szCs w:val="32"/>
        </w:rPr>
        <w:t>专业科目（技能）测试</w:t>
      </w:r>
      <w:r>
        <w:rPr>
          <w:rFonts w:ascii="方正小标宋简体" w:eastAsia="方正小标宋简体" w:hint="eastAsia"/>
          <w:color w:val="000000" w:themeColor="text1"/>
          <w:sz w:val="36"/>
          <w:szCs w:val="32"/>
        </w:rPr>
        <w:t>大纲</w:t>
      </w:r>
    </w:p>
    <w:p w:rsidR="002C4DF5" w:rsidRDefault="00E25803">
      <w:pPr>
        <w:spacing w:line="520" w:lineRule="exact"/>
        <w:ind w:firstLineChars="221" w:firstLine="707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为便于考生充分了解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年广东省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疾病预防控制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中心考试录用参照公务员法管理单位工作人员（以下简称“参公人员”）专业科目（技能）测试，特制定本大纲。</w:t>
      </w:r>
    </w:p>
    <w:p w:rsidR="002C4DF5" w:rsidRDefault="00E25803">
      <w:pPr>
        <w:spacing w:line="520" w:lineRule="exact"/>
        <w:ind w:firstLineChars="221" w:firstLine="707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测试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方式</w:t>
      </w:r>
    </w:p>
    <w:p w:rsidR="002C4DF5" w:rsidRDefault="00E25803">
      <w:pPr>
        <w:spacing w:line="52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2022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广东省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疾病预防控制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中心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考试录用参公人员专业科目（技能）测试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采用</w:t>
      </w:r>
      <w:r w:rsidR="009A6B67">
        <w:rPr>
          <w:rFonts w:ascii="仿宋_GB2312" w:eastAsia="仿宋_GB2312" w:hint="eastAsia"/>
          <w:color w:val="000000" w:themeColor="text1"/>
          <w:sz w:val="32"/>
          <w:szCs w:val="32"/>
        </w:rPr>
        <w:t>结构化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面试的方式，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测试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时间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int="eastAsia"/>
          <w:color w:val="000000"/>
          <w:sz w:val="32"/>
          <w:szCs w:val="32"/>
        </w:rPr>
        <w:t>钟，共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道题，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满分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分。</w:t>
      </w:r>
    </w:p>
    <w:p w:rsidR="002C4DF5" w:rsidRDefault="00E25803">
      <w:pPr>
        <w:spacing w:line="520" w:lineRule="exact"/>
        <w:ind w:firstLineChars="221" w:firstLine="707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二、作答要求</w:t>
      </w:r>
    </w:p>
    <w:p w:rsidR="002C4DF5" w:rsidRDefault="00E25803">
      <w:pPr>
        <w:spacing w:line="52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参加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测试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的考生必须用普通话在规定时间内回答问题，考题逐题问答，每道题目的答题时间由考生自由分配，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测试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时间结束终止作答。</w:t>
      </w:r>
    </w:p>
    <w:p w:rsidR="002C4DF5" w:rsidRDefault="00E25803">
      <w:pPr>
        <w:spacing w:line="520" w:lineRule="exact"/>
        <w:ind w:firstLineChars="221" w:firstLine="707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三、测试内容</w:t>
      </w:r>
    </w:p>
    <w:p w:rsidR="002C4DF5" w:rsidRDefault="00E25803">
      <w:pPr>
        <w:spacing w:line="52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2022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年广东省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疾病预防控制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中心考试录用参公人员专业科目（技能）测试，主要测试考生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专业知识、信息挖掘能力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综合分析能力（运用所学综合剖析问题，提出科学合理的解决方法、建议与意见）。</w:t>
      </w:r>
    </w:p>
    <w:p w:rsidR="002C4DF5" w:rsidRDefault="00E25803">
      <w:pPr>
        <w:spacing w:line="52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各职位专业科目（技能）测试内容详见附表。</w:t>
      </w:r>
    </w:p>
    <w:p w:rsidR="002C4DF5" w:rsidRDefault="00E25803">
      <w:pPr>
        <w:spacing w:line="520" w:lineRule="exact"/>
        <w:ind w:firstLineChars="221" w:firstLine="707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四、其他说明</w:t>
      </w:r>
    </w:p>
    <w:p w:rsidR="002C4DF5" w:rsidRDefault="00E25803">
      <w:pPr>
        <w:spacing w:line="520" w:lineRule="exact"/>
        <w:ind w:firstLineChars="221" w:firstLine="707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本次专业科目（技能）测试不指定考试用书，请考生根据测试内容自行学习。</w:t>
      </w:r>
      <w:bookmarkEnd w:id="0"/>
    </w:p>
    <w:p w:rsidR="009A6B67" w:rsidRDefault="009A6B67" w:rsidP="009A6B67">
      <w:pPr>
        <w:spacing w:line="520" w:lineRule="exact"/>
        <w:ind w:leftChars="304" w:left="1556" w:hangingChars="287" w:hanging="918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</w:p>
    <w:p w:rsidR="002C4DF5" w:rsidRDefault="00E25803" w:rsidP="009A6B67">
      <w:pPr>
        <w:spacing w:line="520" w:lineRule="exact"/>
        <w:ind w:leftChars="304" w:left="1556" w:hangingChars="287" w:hanging="918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附表：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2022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年广东省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疾病预防控制中心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考试录用参公人员专业科目（技能）测试内容一览表</w:t>
      </w:r>
    </w:p>
    <w:p w:rsidR="002C4DF5" w:rsidRDefault="002C4DF5">
      <w:pPr>
        <w:spacing w:line="600" w:lineRule="exact"/>
        <w:rPr>
          <w:rFonts w:ascii="仿宋_GB2312" w:eastAsia="仿宋_GB2312" w:hAnsi="Calibri" w:cs="Times New Roman"/>
          <w:color w:val="000000" w:themeColor="text1"/>
          <w:sz w:val="32"/>
          <w:szCs w:val="32"/>
        </w:rPr>
        <w:sectPr w:rsidR="002C4DF5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2C4DF5" w:rsidRPr="009A6B67" w:rsidRDefault="009A6B67">
      <w:pPr>
        <w:spacing w:line="52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9A6B67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附表</w:t>
      </w:r>
    </w:p>
    <w:p w:rsidR="002C4DF5" w:rsidRDefault="00E25803">
      <w:pPr>
        <w:spacing w:beforeLines="50" w:before="156" w:afterLines="50" w:after="156" w:line="520" w:lineRule="exact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2022</w:t>
      </w:r>
      <w:r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年广东省</w:t>
      </w:r>
      <w:r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疾病预防控制中心</w:t>
      </w:r>
      <w:r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考试录用参公人员专业科目（技能）测试内容一览表</w:t>
      </w:r>
    </w:p>
    <w:tbl>
      <w:tblPr>
        <w:tblW w:w="15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665"/>
        <w:gridCol w:w="855"/>
        <w:gridCol w:w="675"/>
        <w:gridCol w:w="705"/>
        <w:gridCol w:w="2340"/>
        <w:gridCol w:w="8113"/>
      </w:tblGrid>
      <w:tr w:rsidR="002C4DF5">
        <w:trPr>
          <w:cantSplit/>
          <w:trHeight w:val="1030"/>
          <w:tblHeader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职位</w:t>
            </w:r>
          </w:p>
          <w:p w:rsidR="002C4DF5" w:rsidRDefault="00E25803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代码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职位简介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录用人数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学历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专业名称及代码</w:t>
            </w:r>
          </w:p>
        </w:tc>
        <w:tc>
          <w:tcPr>
            <w:tcW w:w="8113" w:type="dxa"/>
            <w:vAlign w:val="center"/>
          </w:tcPr>
          <w:p w:rsidR="002C4DF5" w:rsidRDefault="00E2580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专业科目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技能）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测试内容</w:t>
            </w:r>
          </w:p>
        </w:tc>
      </w:tr>
      <w:tr w:rsidR="002C4DF5">
        <w:trPr>
          <w:trHeight w:val="1405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19900622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41001 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从事疾病流行规律分析与研究等工作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流行病与卫生统计学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(A100401)</w:t>
            </w:r>
          </w:p>
        </w:tc>
        <w:tc>
          <w:tcPr>
            <w:tcW w:w="8113" w:type="dxa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一、流行病学原理与方法，医学统计学方法。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二、传染病学，重要传染性和慢性非传染性疾病流行特征、影响（危险）因素和防控策略</w:t>
            </w: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疾控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数据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挖掘、分析与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应用。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kern w:val="0"/>
                <w:sz w:val="24"/>
                <w:szCs w:val="28"/>
              </w:rPr>
              <w:t>三</w:t>
            </w:r>
            <w:r>
              <w:rPr>
                <w:rFonts w:ascii="仿宋_GB2312" w:eastAsia="仿宋_GB2312"/>
                <w:b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color w:val="000000" w:themeColor="text1"/>
                <w:kern w:val="0"/>
                <w:sz w:val="24"/>
                <w:szCs w:val="28"/>
              </w:rPr>
              <w:t>生物安全与防护。</w:t>
            </w:r>
          </w:p>
        </w:tc>
      </w:tr>
      <w:tr w:rsidR="002C4DF5">
        <w:trPr>
          <w:trHeight w:val="1335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19900622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41002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从事疾病监测、评估与现场调查处置等工作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硕士以上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流行病与卫生统计学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(A100401)</w:t>
            </w:r>
          </w:p>
        </w:tc>
        <w:tc>
          <w:tcPr>
            <w:tcW w:w="8113" w:type="dxa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一、流行病学原理与方法，医学统计学方法。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二、传染病学，重要传染性和慢性非传染性疾病流行特征、影响（危险）因素和防控策略</w:t>
            </w: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疾控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数据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挖掘、分析与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应用。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kern w:val="0"/>
                <w:sz w:val="24"/>
                <w:szCs w:val="28"/>
              </w:rPr>
              <w:t>三</w:t>
            </w:r>
            <w:r>
              <w:rPr>
                <w:rFonts w:ascii="仿宋_GB2312" w:eastAsia="仿宋_GB2312"/>
                <w:b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color w:val="000000" w:themeColor="text1"/>
                <w:kern w:val="0"/>
                <w:sz w:val="24"/>
                <w:szCs w:val="28"/>
              </w:rPr>
              <w:t>生物安全与防护。</w:t>
            </w:r>
          </w:p>
        </w:tc>
      </w:tr>
      <w:tr w:rsidR="002C4DF5">
        <w:trPr>
          <w:trHeight w:val="1481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19900622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41003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从事疾病监测、评估与现场调查处置等工作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硕士以上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流行病与卫生统计学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(A100401)</w:t>
            </w:r>
          </w:p>
        </w:tc>
        <w:tc>
          <w:tcPr>
            <w:tcW w:w="8113" w:type="dxa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一、流行病学原理与方法，医学统计学方法。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二、传染病学，重要传染性和慢性非传染性疾病流行特征、影响（危险）因素和防控策略</w:t>
            </w: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疾控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数据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挖掘、分析与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应用。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kern w:val="0"/>
                <w:sz w:val="24"/>
                <w:szCs w:val="28"/>
              </w:rPr>
              <w:t>三</w:t>
            </w:r>
            <w:r>
              <w:rPr>
                <w:rFonts w:ascii="仿宋_GB2312" w:eastAsia="仿宋_GB2312"/>
                <w:b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color w:val="000000" w:themeColor="text1"/>
                <w:kern w:val="0"/>
                <w:sz w:val="24"/>
                <w:szCs w:val="28"/>
              </w:rPr>
              <w:t>生物安全与防护。</w:t>
            </w:r>
          </w:p>
        </w:tc>
      </w:tr>
      <w:tr w:rsidR="002C4DF5">
        <w:trPr>
          <w:trHeight w:val="1545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19900622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41004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从事疾病监测、评估与现场调查处置等工作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硕士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公共卫生硕士（专业硕士）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(A100407)</w:t>
            </w:r>
          </w:p>
        </w:tc>
        <w:tc>
          <w:tcPr>
            <w:tcW w:w="8113" w:type="dxa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一、流行病学原理与方法，医学统计学方法。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二、传染病学，重要传染性和慢性非传染性疾病流行特征、影响（危险）因素和防控策略，卫生经济学原理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  <w:t>与方法</w:t>
            </w: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三、</w:t>
            </w:r>
            <w:r>
              <w:rPr>
                <w:rFonts w:ascii="仿宋_GB2312" w:eastAsia="仿宋_GB2312" w:hint="eastAsia"/>
                <w:b/>
                <w:color w:val="000000" w:themeColor="text1"/>
                <w:kern w:val="0"/>
                <w:sz w:val="24"/>
                <w:szCs w:val="28"/>
              </w:rPr>
              <w:t>生物安全与防护。</w:t>
            </w:r>
          </w:p>
        </w:tc>
      </w:tr>
      <w:tr w:rsidR="002C4DF5">
        <w:trPr>
          <w:trHeight w:val="2015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lastRenderedPageBreak/>
              <w:t>19900622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41005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从事传染病感染免疫学检验、病原体分离与检验鉴定等工作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硕士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以上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微生物学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(A071005),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细胞生物学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(A071009),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(A071010),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免疫学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(A100102)</w:t>
            </w:r>
          </w:p>
        </w:tc>
        <w:tc>
          <w:tcPr>
            <w:tcW w:w="8113" w:type="dxa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一、重要传染病病原体特征及检验技术。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二、重要传染病感染免疫学、细胞免疫与体液免疫相关的检测方法与应用。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三、分子生物学原理与检测技术。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四、病原微生物基因组测定及生物信息学分析与应用。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五、生物安全与防护。</w:t>
            </w:r>
          </w:p>
        </w:tc>
      </w:tr>
      <w:tr w:rsidR="002C4DF5">
        <w:trPr>
          <w:trHeight w:val="2460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19900622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41006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从事病原体分离与检验鉴定等工作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硕士以上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微生物学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(A071005),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细胞生物学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(A071009),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生物化学与分子生物学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(A071010),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病原生物学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(A100103)</w:t>
            </w:r>
          </w:p>
        </w:tc>
        <w:tc>
          <w:tcPr>
            <w:tcW w:w="8113" w:type="dxa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一、重要传染病病原体特征及检验技术。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二、分子生物学原理与检测技术。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三、病原微生物基因组测定及生物信息学分析与应用。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四、生物安全与防护。</w:t>
            </w:r>
          </w:p>
        </w:tc>
      </w:tr>
      <w:tr w:rsidR="002C4DF5">
        <w:trPr>
          <w:trHeight w:val="1690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19900622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41007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从事卫生检验、医学检验等工作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硕士以上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临床检验诊断学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(A100208),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临床检验诊断学硕士（专业硕士）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(A100226)</w:t>
            </w:r>
          </w:p>
        </w:tc>
        <w:tc>
          <w:tcPr>
            <w:tcW w:w="8113" w:type="dxa"/>
            <w:vAlign w:val="center"/>
          </w:tcPr>
          <w:p w:rsidR="002C4DF5" w:rsidRDefault="00E25803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临床检验学原理与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实践。</w:t>
            </w:r>
          </w:p>
          <w:p w:rsidR="002C4DF5" w:rsidRDefault="00E25803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医学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统计学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常用分析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方法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及应用。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三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、临床生化检验、临床血液学检验方法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操作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及实验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数据分析整理。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四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、生物安全与防护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。</w:t>
            </w:r>
          </w:p>
        </w:tc>
      </w:tr>
      <w:tr w:rsidR="002C4DF5">
        <w:trPr>
          <w:trHeight w:val="2195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lastRenderedPageBreak/>
              <w:t>19900622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41008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从事鼠、蝇、蚊、蟑螂等病媒生物饲养、监测、鉴定和标本制作管理等工作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本科以上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学士以上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动物学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(A071002)</w:t>
            </w:r>
          </w:p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本科：生物科学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(B071001)</w:t>
            </w:r>
          </w:p>
        </w:tc>
        <w:tc>
          <w:tcPr>
            <w:tcW w:w="8113" w:type="dxa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一、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生物学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昆虫学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的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基本原理，实验技术与方法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二、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常见媒介传染病流行特征、影响因素和防控策略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三、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常见病媒生物监测、控制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采集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、种类鉴定及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实验室养殖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标本制作技术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四、</w:t>
            </w: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生物安全与防护。</w:t>
            </w:r>
          </w:p>
        </w:tc>
      </w:tr>
      <w:tr w:rsidR="002C4DF5">
        <w:trPr>
          <w:trHeight w:val="2195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19900622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41009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从事卫生毒理检验及研究等工作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硕士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以上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劳动卫生与环境卫生学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(A100402),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卫生毒理学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(A100405)</w:t>
            </w:r>
          </w:p>
        </w:tc>
        <w:tc>
          <w:tcPr>
            <w:tcW w:w="8113" w:type="dxa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一、毒理学原理、方法及实验操作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二、实验动物学和分子生物学方法、原理及应用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三、化学物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质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安全性评价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危险性评定基础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环境健康风险评估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及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8"/>
              </w:rPr>
              <w:t>数据整理、分析与应用。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四、</w:t>
            </w: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8"/>
              </w:rPr>
              <w:t>生物安全与防护。</w:t>
            </w:r>
          </w:p>
        </w:tc>
      </w:tr>
      <w:tr w:rsidR="002C4DF5">
        <w:trPr>
          <w:trHeight w:val="2005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19900622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41010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从事疾病预防控制大数据管理、大数据分析与挖掘等工作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4DF5" w:rsidRDefault="00E2580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控制理论与控制工程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(A081101),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模式识别与智能系统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(A081104)</w:t>
            </w:r>
          </w:p>
        </w:tc>
        <w:tc>
          <w:tcPr>
            <w:tcW w:w="8113" w:type="dxa"/>
            <w:vAlign w:val="center"/>
          </w:tcPr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一、数据库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的建立、数据处理及算法。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二、人工智能与机器学习的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理论方法，自然语言处理，深度学习框架。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三、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控制理论，模式识别与智</w:t>
            </w:r>
            <w:bookmarkStart w:id="1" w:name="_GoBack"/>
            <w:bookmarkEnd w:id="1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能系统在</w:t>
            </w:r>
            <w:r w:rsidRPr="009A6B6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卫生健康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领域的应用。</w:t>
            </w:r>
          </w:p>
          <w:p w:rsidR="002C4DF5" w:rsidRDefault="00E25803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四、网络信息安全。</w:t>
            </w:r>
          </w:p>
        </w:tc>
      </w:tr>
    </w:tbl>
    <w:p w:rsidR="002C4DF5" w:rsidRDefault="002C4DF5">
      <w:pPr>
        <w:spacing w:line="140" w:lineRule="exact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</w:p>
    <w:sectPr w:rsidR="002C4DF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03" w:rsidRDefault="00E25803" w:rsidP="009A6B67">
      <w:r>
        <w:separator/>
      </w:r>
    </w:p>
  </w:endnote>
  <w:endnote w:type="continuationSeparator" w:id="0">
    <w:p w:rsidR="00E25803" w:rsidRDefault="00E25803" w:rsidP="009A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03" w:rsidRDefault="00E25803" w:rsidP="009A6B67">
      <w:r>
        <w:separator/>
      </w:r>
    </w:p>
  </w:footnote>
  <w:footnote w:type="continuationSeparator" w:id="0">
    <w:p w:rsidR="00E25803" w:rsidRDefault="00E25803" w:rsidP="009A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D251E4"/>
    <w:multiLevelType w:val="singleLevel"/>
    <w:tmpl w:val="EED251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08"/>
    <w:rsid w:val="0001116D"/>
    <w:rsid w:val="0002014D"/>
    <w:rsid w:val="000400D1"/>
    <w:rsid w:val="000421E2"/>
    <w:rsid w:val="00066DAA"/>
    <w:rsid w:val="00073F87"/>
    <w:rsid w:val="00081E6D"/>
    <w:rsid w:val="000A2D40"/>
    <w:rsid w:val="000B258D"/>
    <w:rsid w:val="000C55BB"/>
    <w:rsid w:val="000D53C4"/>
    <w:rsid w:val="000E173A"/>
    <w:rsid w:val="000E1CED"/>
    <w:rsid w:val="000E51B5"/>
    <w:rsid w:val="000F2B7B"/>
    <w:rsid w:val="000F2CC7"/>
    <w:rsid w:val="000F3485"/>
    <w:rsid w:val="00103CA8"/>
    <w:rsid w:val="001138DD"/>
    <w:rsid w:val="00126B20"/>
    <w:rsid w:val="00134360"/>
    <w:rsid w:val="00151D31"/>
    <w:rsid w:val="00166599"/>
    <w:rsid w:val="001748BA"/>
    <w:rsid w:val="00181968"/>
    <w:rsid w:val="001A61F5"/>
    <w:rsid w:val="001A76CA"/>
    <w:rsid w:val="001C694F"/>
    <w:rsid w:val="001C7918"/>
    <w:rsid w:val="001D10CC"/>
    <w:rsid w:val="002069CC"/>
    <w:rsid w:val="002139FA"/>
    <w:rsid w:val="002168EF"/>
    <w:rsid w:val="00222AA1"/>
    <w:rsid w:val="00225373"/>
    <w:rsid w:val="00232349"/>
    <w:rsid w:val="00247C8E"/>
    <w:rsid w:val="0025014B"/>
    <w:rsid w:val="0027173B"/>
    <w:rsid w:val="0029157E"/>
    <w:rsid w:val="00291FF5"/>
    <w:rsid w:val="0029364F"/>
    <w:rsid w:val="00296035"/>
    <w:rsid w:val="002B7199"/>
    <w:rsid w:val="002C38CE"/>
    <w:rsid w:val="002C42EC"/>
    <w:rsid w:val="002C4DF5"/>
    <w:rsid w:val="002C5806"/>
    <w:rsid w:val="002D0B2B"/>
    <w:rsid w:val="002D6E2A"/>
    <w:rsid w:val="002E2830"/>
    <w:rsid w:val="002E4B72"/>
    <w:rsid w:val="002E4DAA"/>
    <w:rsid w:val="00301A63"/>
    <w:rsid w:val="003029EB"/>
    <w:rsid w:val="00315714"/>
    <w:rsid w:val="00317F24"/>
    <w:rsid w:val="00324408"/>
    <w:rsid w:val="00325724"/>
    <w:rsid w:val="00333766"/>
    <w:rsid w:val="003514C9"/>
    <w:rsid w:val="00365091"/>
    <w:rsid w:val="00385B6B"/>
    <w:rsid w:val="003A2D4B"/>
    <w:rsid w:val="003C688B"/>
    <w:rsid w:val="003E28EA"/>
    <w:rsid w:val="003F55B2"/>
    <w:rsid w:val="004013B5"/>
    <w:rsid w:val="00406E74"/>
    <w:rsid w:val="00407387"/>
    <w:rsid w:val="00410AF8"/>
    <w:rsid w:val="00411EC5"/>
    <w:rsid w:val="00412CCD"/>
    <w:rsid w:val="00424C68"/>
    <w:rsid w:val="00446642"/>
    <w:rsid w:val="00462C33"/>
    <w:rsid w:val="004660D9"/>
    <w:rsid w:val="00470414"/>
    <w:rsid w:val="004772FC"/>
    <w:rsid w:val="00497EB1"/>
    <w:rsid w:val="004A0A9C"/>
    <w:rsid w:val="004C372E"/>
    <w:rsid w:val="004C4A35"/>
    <w:rsid w:val="004D0F85"/>
    <w:rsid w:val="004F5BDA"/>
    <w:rsid w:val="00515A00"/>
    <w:rsid w:val="00532137"/>
    <w:rsid w:val="00542A88"/>
    <w:rsid w:val="00543A67"/>
    <w:rsid w:val="00544AFE"/>
    <w:rsid w:val="00554E6C"/>
    <w:rsid w:val="00560421"/>
    <w:rsid w:val="0056424A"/>
    <w:rsid w:val="00570130"/>
    <w:rsid w:val="00573790"/>
    <w:rsid w:val="005812C6"/>
    <w:rsid w:val="005A3C7E"/>
    <w:rsid w:val="005A6DF0"/>
    <w:rsid w:val="005D4494"/>
    <w:rsid w:val="005E500B"/>
    <w:rsid w:val="0062147F"/>
    <w:rsid w:val="00630638"/>
    <w:rsid w:val="0063342B"/>
    <w:rsid w:val="00640511"/>
    <w:rsid w:val="006426FE"/>
    <w:rsid w:val="006557D8"/>
    <w:rsid w:val="00655986"/>
    <w:rsid w:val="00657FC0"/>
    <w:rsid w:val="00662969"/>
    <w:rsid w:val="006658AA"/>
    <w:rsid w:val="00681884"/>
    <w:rsid w:val="006C200B"/>
    <w:rsid w:val="006C310E"/>
    <w:rsid w:val="006D599F"/>
    <w:rsid w:val="006D5EA3"/>
    <w:rsid w:val="006D7618"/>
    <w:rsid w:val="006E06F4"/>
    <w:rsid w:val="006E11B8"/>
    <w:rsid w:val="006E3CE4"/>
    <w:rsid w:val="006F730E"/>
    <w:rsid w:val="007154B4"/>
    <w:rsid w:val="00737A4C"/>
    <w:rsid w:val="00737E45"/>
    <w:rsid w:val="00751386"/>
    <w:rsid w:val="007637E4"/>
    <w:rsid w:val="00771048"/>
    <w:rsid w:val="00797286"/>
    <w:rsid w:val="007A376E"/>
    <w:rsid w:val="007A6CD2"/>
    <w:rsid w:val="007A76B7"/>
    <w:rsid w:val="007E07E3"/>
    <w:rsid w:val="007F086B"/>
    <w:rsid w:val="007F3D23"/>
    <w:rsid w:val="007F3DF2"/>
    <w:rsid w:val="00816FA1"/>
    <w:rsid w:val="00822650"/>
    <w:rsid w:val="0083632B"/>
    <w:rsid w:val="008379A7"/>
    <w:rsid w:val="008631A2"/>
    <w:rsid w:val="00872BFB"/>
    <w:rsid w:val="00877DCC"/>
    <w:rsid w:val="00877FF9"/>
    <w:rsid w:val="008839F8"/>
    <w:rsid w:val="00896D9A"/>
    <w:rsid w:val="008B4149"/>
    <w:rsid w:val="008C04E9"/>
    <w:rsid w:val="008E043B"/>
    <w:rsid w:val="008E36F4"/>
    <w:rsid w:val="008F4E37"/>
    <w:rsid w:val="00901426"/>
    <w:rsid w:val="009024EB"/>
    <w:rsid w:val="00904142"/>
    <w:rsid w:val="00914388"/>
    <w:rsid w:val="00921B30"/>
    <w:rsid w:val="00932844"/>
    <w:rsid w:val="00936713"/>
    <w:rsid w:val="009377D8"/>
    <w:rsid w:val="0094361F"/>
    <w:rsid w:val="009437DC"/>
    <w:rsid w:val="00953D88"/>
    <w:rsid w:val="00957F0C"/>
    <w:rsid w:val="009640EB"/>
    <w:rsid w:val="00965AD7"/>
    <w:rsid w:val="009771AE"/>
    <w:rsid w:val="00980941"/>
    <w:rsid w:val="009819A2"/>
    <w:rsid w:val="009843A2"/>
    <w:rsid w:val="009A44C2"/>
    <w:rsid w:val="009A6B67"/>
    <w:rsid w:val="009C298D"/>
    <w:rsid w:val="009C3DD2"/>
    <w:rsid w:val="009E5CEF"/>
    <w:rsid w:val="009E727D"/>
    <w:rsid w:val="009F5CD3"/>
    <w:rsid w:val="00A213C4"/>
    <w:rsid w:val="00A26013"/>
    <w:rsid w:val="00A264A1"/>
    <w:rsid w:val="00A33679"/>
    <w:rsid w:val="00A52D1C"/>
    <w:rsid w:val="00A54C79"/>
    <w:rsid w:val="00A66255"/>
    <w:rsid w:val="00A8095C"/>
    <w:rsid w:val="00A93C50"/>
    <w:rsid w:val="00AA296A"/>
    <w:rsid w:val="00AA429C"/>
    <w:rsid w:val="00AB3B5D"/>
    <w:rsid w:val="00AE37BE"/>
    <w:rsid w:val="00B304CC"/>
    <w:rsid w:val="00B435AE"/>
    <w:rsid w:val="00B60B30"/>
    <w:rsid w:val="00B7159F"/>
    <w:rsid w:val="00B71B64"/>
    <w:rsid w:val="00B75AA7"/>
    <w:rsid w:val="00B804D3"/>
    <w:rsid w:val="00B835E8"/>
    <w:rsid w:val="00B92030"/>
    <w:rsid w:val="00BE37C0"/>
    <w:rsid w:val="00BF597D"/>
    <w:rsid w:val="00BF6B61"/>
    <w:rsid w:val="00C10303"/>
    <w:rsid w:val="00C24926"/>
    <w:rsid w:val="00C305BC"/>
    <w:rsid w:val="00C36B40"/>
    <w:rsid w:val="00C37747"/>
    <w:rsid w:val="00C7209C"/>
    <w:rsid w:val="00C7555C"/>
    <w:rsid w:val="00C75BD2"/>
    <w:rsid w:val="00C76339"/>
    <w:rsid w:val="00C77A34"/>
    <w:rsid w:val="00CB4118"/>
    <w:rsid w:val="00CD2A0C"/>
    <w:rsid w:val="00CF6C43"/>
    <w:rsid w:val="00D15D0A"/>
    <w:rsid w:val="00D17555"/>
    <w:rsid w:val="00D2281E"/>
    <w:rsid w:val="00D34A68"/>
    <w:rsid w:val="00D4764A"/>
    <w:rsid w:val="00D558B4"/>
    <w:rsid w:val="00D861C9"/>
    <w:rsid w:val="00DA42ED"/>
    <w:rsid w:val="00DD7244"/>
    <w:rsid w:val="00DE30A9"/>
    <w:rsid w:val="00E20AF1"/>
    <w:rsid w:val="00E25803"/>
    <w:rsid w:val="00E336D5"/>
    <w:rsid w:val="00E54248"/>
    <w:rsid w:val="00E652BE"/>
    <w:rsid w:val="00E67840"/>
    <w:rsid w:val="00E83246"/>
    <w:rsid w:val="00EA0FBB"/>
    <w:rsid w:val="00EE6E34"/>
    <w:rsid w:val="00F161D8"/>
    <w:rsid w:val="00F16B0B"/>
    <w:rsid w:val="00F33D1D"/>
    <w:rsid w:val="00F35B9E"/>
    <w:rsid w:val="00F5128A"/>
    <w:rsid w:val="00F53DF2"/>
    <w:rsid w:val="00F572E4"/>
    <w:rsid w:val="00F84FA9"/>
    <w:rsid w:val="00F947C0"/>
    <w:rsid w:val="00FA4D36"/>
    <w:rsid w:val="00FB5083"/>
    <w:rsid w:val="00FD6AD6"/>
    <w:rsid w:val="00FE0617"/>
    <w:rsid w:val="00FE51A8"/>
    <w:rsid w:val="00FF1830"/>
    <w:rsid w:val="043B4F1D"/>
    <w:rsid w:val="04551DD8"/>
    <w:rsid w:val="088E6928"/>
    <w:rsid w:val="0B9B5CEF"/>
    <w:rsid w:val="121915BB"/>
    <w:rsid w:val="14C04D59"/>
    <w:rsid w:val="153563EC"/>
    <w:rsid w:val="176F3356"/>
    <w:rsid w:val="1D632660"/>
    <w:rsid w:val="21E82B62"/>
    <w:rsid w:val="2CB25722"/>
    <w:rsid w:val="2E0B0700"/>
    <w:rsid w:val="3B684D40"/>
    <w:rsid w:val="3BFD1DDA"/>
    <w:rsid w:val="3F0B2458"/>
    <w:rsid w:val="42F30A6F"/>
    <w:rsid w:val="44A2189E"/>
    <w:rsid w:val="45DA7392"/>
    <w:rsid w:val="485A55AA"/>
    <w:rsid w:val="486824EF"/>
    <w:rsid w:val="49307699"/>
    <w:rsid w:val="4AD26C60"/>
    <w:rsid w:val="4D2D7AB1"/>
    <w:rsid w:val="51A32335"/>
    <w:rsid w:val="542156D6"/>
    <w:rsid w:val="61EB0398"/>
    <w:rsid w:val="69B456A4"/>
    <w:rsid w:val="71EF4074"/>
    <w:rsid w:val="72E447A2"/>
    <w:rsid w:val="735E3058"/>
    <w:rsid w:val="743A6173"/>
    <w:rsid w:val="7B036386"/>
    <w:rsid w:val="7E75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3EA8D7-3047-4AC9-BFB2-013C67EC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CAB70-D8CE-45DE-B755-EF1206ED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1064</Words>
  <Characters>1192</Characters>
  <Application>Microsoft Office Word</Application>
  <DocSecurity>0</DocSecurity>
  <Lines>56</Lines>
  <Paragraphs>44</Paragraphs>
  <ScaleCrop>false</ScaleCrop>
  <Company>www.dadighost.com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徐宁</dc:creator>
  <cp:lastModifiedBy>徐宁</cp:lastModifiedBy>
  <cp:revision>9</cp:revision>
  <cp:lastPrinted>2022-02-28T02:33:00Z</cp:lastPrinted>
  <dcterms:created xsi:type="dcterms:W3CDTF">2019-05-15T09:32:00Z</dcterms:created>
  <dcterms:modified xsi:type="dcterms:W3CDTF">2022-03-04T07:02:00Z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